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02D6E" w14:textId="1DE9734F" w:rsidR="00531D10" w:rsidRDefault="00531D10" w:rsidP="00531D10">
      <w:pPr>
        <w:suppressAutoHyphens/>
        <w:spacing w:line="276" w:lineRule="atLeast"/>
        <w:ind w:left="6480" w:firstLine="1296"/>
        <w:jc w:val="both"/>
        <w:textAlignment w:val="baseline"/>
        <w:rPr>
          <w:szCs w:val="24"/>
        </w:rPr>
      </w:pPr>
      <w:r>
        <w:rPr>
          <w:szCs w:val="24"/>
        </w:rPr>
        <w:t>A</w:t>
      </w:r>
      <w:r>
        <w:rPr>
          <w:szCs w:val="24"/>
        </w:rPr>
        <w:t>prašo1 priedas</w:t>
      </w:r>
    </w:p>
    <w:p w14:paraId="2A142B78" w14:textId="77777777" w:rsidR="00531D10" w:rsidRDefault="00531D10" w:rsidP="00531D10">
      <w:pPr>
        <w:jc w:val="center"/>
        <w:rPr>
          <w:rFonts w:eastAsia="Calibri"/>
          <w:b/>
          <w:bCs/>
          <w:szCs w:val="24"/>
        </w:rPr>
      </w:pPr>
    </w:p>
    <w:p w14:paraId="62D46B71" w14:textId="77777777" w:rsidR="00531D10" w:rsidRDefault="00531D10" w:rsidP="00531D10">
      <w:pPr>
        <w:jc w:val="center"/>
        <w:rPr>
          <w:rFonts w:eastAsia="Calibri"/>
          <w:b/>
          <w:bCs/>
          <w:szCs w:val="24"/>
        </w:rPr>
      </w:pPr>
      <w:r>
        <w:rPr>
          <w:rFonts w:eastAsia="Calibri"/>
          <w:b/>
          <w:bCs/>
          <w:szCs w:val="24"/>
        </w:rPr>
        <w:t>PROJEKTO ATITIKTIES REIKŠMINGOS ŽALOS NEDARYMO HORIZONTALIAJAM PRINCIPUI VERTINIMO REIKALAVIMŲ APRAŠAS</w:t>
      </w:r>
    </w:p>
    <w:p w14:paraId="0A2AA785" w14:textId="77777777" w:rsidR="00531D10" w:rsidRDefault="00531D10" w:rsidP="00531D10">
      <w:pPr>
        <w:jc w:val="center"/>
        <w:rPr>
          <w:rFonts w:eastAsia="Calibri"/>
          <w:b/>
          <w:bCs/>
          <w:szCs w:val="24"/>
        </w:rPr>
      </w:pPr>
    </w:p>
    <w:p w14:paraId="21694826" w14:textId="77777777" w:rsidR="00531D10" w:rsidRDefault="00531D10" w:rsidP="00531D10">
      <w:pPr>
        <w:spacing w:line="276" w:lineRule="auto"/>
        <w:jc w:val="both"/>
        <w:rPr>
          <w:rFonts w:eastAsia="Calibri"/>
          <w:bCs/>
          <w:szCs w:val="24"/>
        </w:rPr>
      </w:pPr>
      <w:r>
        <w:t xml:space="preserve">x </w:t>
      </w:r>
      <w:r>
        <w:rPr>
          <w:rFonts w:eastAsia="Calibri"/>
          <w:bCs/>
          <w:szCs w:val="24"/>
        </w:rPr>
        <w:t>Ekonomikos gaivinimo ir atsparumo didinimo priemonė</w:t>
      </w:r>
    </w:p>
    <w:p w14:paraId="5F01A16F" w14:textId="77777777" w:rsidR="00531D10" w:rsidRDefault="00531D10" w:rsidP="00531D10">
      <w:pPr>
        <w:spacing w:line="276" w:lineRule="auto"/>
        <w:jc w:val="both"/>
        <w:rPr>
          <w:rFonts w:eastAsia="Calibri"/>
          <w:bCs/>
          <w:szCs w:val="24"/>
        </w:rPr>
      </w:pPr>
      <w:r>
        <w:rPr>
          <w:rFonts w:ascii="Wingdings 2" w:eastAsia="Wingdings 2" w:hAnsi="Wingdings 2" w:cs="Wingdings 2"/>
        </w:rPr>
        <w:t></w:t>
      </w:r>
      <w:r>
        <w:t xml:space="preserve"> Europos Sąjungos fondų i</w:t>
      </w:r>
      <w:r>
        <w:rPr>
          <w:rFonts w:eastAsia="Calibri"/>
          <w:bCs/>
          <w:szCs w:val="24"/>
        </w:rPr>
        <w:t>nvesticijų programa</w:t>
      </w:r>
    </w:p>
    <w:p w14:paraId="5C9B120A" w14:textId="77777777" w:rsidR="00531D10" w:rsidRDefault="00531D10" w:rsidP="00531D10">
      <w:pPr>
        <w:spacing w:line="276" w:lineRule="auto"/>
        <w:jc w:val="both"/>
        <w:rPr>
          <w:rFonts w:eastAsia="Calibri"/>
          <w:bCs/>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400"/>
        <w:gridCol w:w="3428"/>
      </w:tblGrid>
      <w:tr w:rsidR="00531D10" w14:paraId="6CDED652" w14:textId="77777777" w:rsidTr="00687537">
        <w:tc>
          <w:tcPr>
            <w:tcW w:w="4875" w:type="dxa"/>
          </w:tcPr>
          <w:p w14:paraId="440FE6FE" w14:textId="77777777" w:rsidR="00531D10" w:rsidRDefault="00531D10" w:rsidP="00687537">
            <w:pPr>
              <w:jc w:val="center"/>
              <w:rPr>
                <w:rFonts w:eastAsia="Calibri"/>
                <w:b/>
                <w:szCs w:val="24"/>
              </w:rPr>
            </w:pPr>
            <w:r>
              <w:rPr>
                <w:rFonts w:eastAsia="Calibri"/>
                <w:b/>
                <w:szCs w:val="24"/>
              </w:rPr>
              <w:t>Aplinkos tikslai</w:t>
            </w:r>
          </w:p>
          <w:p w14:paraId="311D848D" w14:textId="77777777" w:rsidR="00531D10" w:rsidRDefault="00531D10" w:rsidP="00687537">
            <w:pPr>
              <w:jc w:val="both"/>
              <w:rPr>
                <w:rFonts w:eastAsia="Calibri"/>
                <w:b/>
                <w:szCs w:val="24"/>
              </w:rPr>
            </w:pPr>
          </w:p>
        </w:tc>
        <w:tc>
          <w:tcPr>
            <w:tcW w:w="4649" w:type="dxa"/>
          </w:tcPr>
          <w:p w14:paraId="5472ECBD" w14:textId="77777777" w:rsidR="00531D10" w:rsidRDefault="00531D10" w:rsidP="00687537">
            <w:pPr>
              <w:jc w:val="center"/>
              <w:rPr>
                <w:rFonts w:eastAsia="Calibri"/>
                <w:b/>
                <w:szCs w:val="24"/>
              </w:rPr>
            </w:pPr>
            <w:r>
              <w:rPr>
                <w:rFonts w:eastAsia="Calibri"/>
                <w:b/>
                <w:szCs w:val="24"/>
              </w:rPr>
              <w:t>Pagrindimas</w:t>
            </w:r>
          </w:p>
          <w:p w14:paraId="57F0EE7E" w14:textId="77777777" w:rsidR="00531D10" w:rsidRDefault="00531D10" w:rsidP="00687537">
            <w:pPr>
              <w:jc w:val="both"/>
              <w:rPr>
                <w:rFonts w:eastAsia="Calibri"/>
                <w:b/>
                <w:szCs w:val="24"/>
              </w:rPr>
            </w:pPr>
          </w:p>
        </w:tc>
        <w:tc>
          <w:tcPr>
            <w:tcW w:w="5325" w:type="dxa"/>
          </w:tcPr>
          <w:p w14:paraId="50FA3DD3" w14:textId="77777777" w:rsidR="00531D10" w:rsidRDefault="00531D10" w:rsidP="00687537">
            <w:pPr>
              <w:jc w:val="center"/>
              <w:rPr>
                <w:rFonts w:eastAsia="Calibri"/>
                <w:i/>
                <w:szCs w:val="24"/>
              </w:rPr>
            </w:pPr>
            <w:r>
              <w:rPr>
                <w:rFonts w:eastAsia="Calibri"/>
                <w:b/>
                <w:szCs w:val="24"/>
              </w:rPr>
              <w:t>Pagrindimo dokumentai</w:t>
            </w:r>
          </w:p>
          <w:p w14:paraId="2B22B0A1" w14:textId="77777777" w:rsidR="00531D10" w:rsidRDefault="00531D10" w:rsidP="00687537">
            <w:pPr>
              <w:jc w:val="both"/>
              <w:rPr>
                <w:rFonts w:eastAsia="Calibri"/>
                <w:i/>
                <w:szCs w:val="24"/>
              </w:rPr>
            </w:pPr>
          </w:p>
        </w:tc>
      </w:tr>
      <w:tr w:rsidR="00531D10" w14:paraId="419C9894" w14:textId="77777777" w:rsidTr="00687537">
        <w:tc>
          <w:tcPr>
            <w:tcW w:w="4875" w:type="dxa"/>
          </w:tcPr>
          <w:p w14:paraId="3BD0ECB8" w14:textId="77777777" w:rsidR="00531D10" w:rsidRDefault="00531D10" w:rsidP="00687537">
            <w:pPr>
              <w:tabs>
                <w:tab w:val="left" w:pos="289"/>
              </w:tabs>
              <w:ind w:firstLine="5"/>
              <w:jc w:val="both"/>
              <w:rPr>
                <w:rFonts w:eastAsia="Calibri"/>
                <w:szCs w:val="24"/>
              </w:rPr>
            </w:pPr>
            <w:r>
              <w:rPr>
                <w:rFonts w:eastAsia="Calibri"/>
                <w:szCs w:val="24"/>
              </w:rPr>
              <w:t>1.</w:t>
            </w:r>
            <w:r>
              <w:rPr>
                <w:rFonts w:eastAsia="Calibri"/>
                <w:szCs w:val="24"/>
              </w:rPr>
              <w:tab/>
              <w:t>Klimato kaitos švelninimas</w:t>
            </w:r>
          </w:p>
        </w:tc>
        <w:tc>
          <w:tcPr>
            <w:tcW w:w="4649" w:type="dxa"/>
          </w:tcPr>
          <w:p w14:paraId="59161C18" w14:textId="77777777" w:rsidR="00531D10" w:rsidRDefault="00531D10" w:rsidP="00687537">
            <w:pPr>
              <w:jc w:val="both"/>
              <w:rPr>
                <w:szCs w:val="24"/>
              </w:rPr>
            </w:pPr>
            <w:r>
              <w:rPr>
                <w:szCs w:val="24"/>
              </w:rPr>
              <w:t xml:space="preserve">Vertinama, kad </w:t>
            </w:r>
            <w:proofErr w:type="spellStart"/>
            <w:r>
              <w:rPr>
                <w:szCs w:val="24"/>
              </w:rPr>
              <w:t>poveiklė</w:t>
            </w:r>
            <w:proofErr w:type="spellEnd"/>
            <w:r>
              <w:rPr>
                <w:szCs w:val="24"/>
              </w:rPr>
              <w:t xml:space="preserve"> „Viešai prieinamos įkrovimo infrastruktūros sunkiajam elektriniam transportui įrengimas“ 100 procentų prisidedama prie klimato kaitos švelninimo:</w:t>
            </w:r>
          </w:p>
          <w:p w14:paraId="4040A8F9" w14:textId="77777777" w:rsidR="00531D10" w:rsidRDefault="00531D10" w:rsidP="00687537">
            <w:pPr>
              <w:jc w:val="both"/>
              <w:rPr>
                <w:rFonts w:eastAsia="Calibri"/>
              </w:rPr>
            </w:pPr>
            <w:r>
              <w:t xml:space="preserve">Vadovaujantis </w:t>
            </w:r>
            <w:r>
              <w:rPr>
                <w:lang w:eastAsia="lt-LT"/>
              </w:rPr>
              <w:t>2021 m. vasario 12 d. Europos Parlamento ir Tarybos reglamento</w:t>
            </w:r>
            <w:r>
              <w:t xml:space="preserve"> (ES) 2021/241,</w:t>
            </w:r>
            <w:r>
              <w:rPr>
                <w:lang w:eastAsia="lt-LT"/>
              </w:rPr>
              <w:t xml:space="preserve"> kuriuo nustatoma ekonomikos gaivinimo ir atsparumo didinimo priemonė,</w:t>
            </w:r>
            <w:r>
              <w:t xml:space="preserve"> VI priedo klasifikatoriumi taikomas 100 proc. paramos, siekiant su klimato kaita susijusių tikslų, skaičiavimo koeficientas (077). Elektromobilių įkrovimo infrastruktūra skatina visai netaršių transporto priemonių įsigijimą, todėl gali būti laikoma būtina investicija, leidžiančia pereiti prie efektyvios klimatui neutralios ekonomikos, mažinančia </w:t>
            </w:r>
            <w:r>
              <w:rPr>
                <w:rFonts w:eastAsia="Calibri"/>
              </w:rPr>
              <w:t xml:space="preserve">šiltnamio efektą sukeliančių dujų </w:t>
            </w:r>
            <w:r>
              <w:t xml:space="preserve">emisijas, didinančia švaraus ar neutralaus poveikio klimatui judumą. Investicija atitinka Lietuvos Respublikos alternatyviųjų degalų įstatymo ir </w:t>
            </w:r>
            <w:r>
              <w:rPr>
                <w:shd w:val="clear" w:color="auto" w:fill="FFFFFF"/>
              </w:rPr>
              <w:t xml:space="preserve">2018 m. gruodžio 11 d. </w:t>
            </w:r>
            <w:r>
              <w:t>Europos Parlamento ir Tarybos direktyvos (ES) 2018/2001</w:t>
            </w:r>
            <w:r>
              <w:rPr>
                <w:shd w:val="clear" w:color="auto" w:fill="FFFFFF"/>
              </w:rPr>
              <w:t xml:space="preserve"> dėl skatinimo naudoti atsinaujinančiųjų išteklių energiją</w:t>
            </w:r>
            <w:r>
              <w:t xml:space="preserve"> (RED II) (toliau </w:t>
            </w:r>
            <w:r>
              <w:rPr>
                <w:szCs w:val="24"/>
              </w:rPr>
              <w:t>–</w:t>
            </w:r>
            <w:r>
              <w:t xml:space="preserve"> Direktyva (ES) 2018/2001</w:t>
            </w:r>
            <w:r>
              <w:rPr>
                <w:shd w:val="clear" w:color="auto" w:fill="FFFFFF"/>
              </w:rPr>
              <w:t xml:space="preserve"> </w:t>
            </w:r>
            <w:r>
              <w:t>(RED II) nuostatas.</w:t>
            </w:r>
          </w:p>
        </w:tc>
        <w:tc>
          <w:tcPr>
            <w:tcW w:w="5325" w:type="dxa"/>
          </w:tcPr>
          <w:p w14:paraId="0B9F33A6" w14:textId="77777777" w:rsidR="00531D10" w:rsidRDefault="00531D10" w:rsidP="00687537">
            <w:pPr>
              <w:jc w:val="both"/>
              <w:rPr>
                <w:rFonts w:eastAsia="Calibri"/>
                <w:bCs/>
                <w:szCs w:val="24"/>
              </w:rPr>
            </w:pPr>
            <w:r>
              <w:rPr>
                <w:szCs w:val="24"/>
              </w:rPr>
              <w:t>Veikla 100 proc. prisideda prie klimato kaitos švelninimo. Projekto finansuojama veikla ir rezultatas – įrengtos viešai prieinamos įkrovimo stotelės – tiesiogiai prisideda prie klimato kaitos švelninimo,</w:t>
            </w:r>
            <w:r>
              <w:rPr>
                <w:rFonts w:eastAsia="Calibri"/>
                <w:bCs/>
                <w:szCs w:val="24"/>
              </w:rPr>
              <w:t xml:space="preserve"> todėl pagrindimo dokumentai neteikiami.</w:t>
            </w:r>
          </w:p>
          <w:p w14:paraId="758D1CF3" w14:textId="77777777" w:rsidR="00531D10" w:rsidRDefault="00531D10" w:rsidP="00687537">
            <w:pPr>
              <w:tabs>
                <w:tab w:val="left" w:pos="34"/>
                <w:tab w:val="left" w:pos="473"/>
              </w:tabs>
              <w:jc w:val="both"/>
              <w:rPr>
                <w:szCs w:val="24"/>
              </w:rPr>
            </w:pPr>
            <w:r>
              <w:rPr>
                <w:szCs w:val="24"/>
              </w:rPr>
              <w:t xml:space="preserve">Kartu su mokėjimo prašymu JP projekto vykdytojas teiks 2022–2030 metų plėtros programos valdytojos Lietuvos Respublikos susisiekimo ministerijos susisiekimo plėtros programos pažangos priemonės Nr. 10-001-06-01-01 „Skatinti alternatyviųjų degalų naudojimą transporto sektoriuje“ veiklos </w:t>
            </w:r>
            <w:r>
              <w:rPr>
                <w:szCs w:val="24"/>
                <w:lang w:eastAsia="en-GB"/>
              </w:rPr>
              <w:t>„</w:t>
            </w:r>
            <w:r>
              <w:rPr>
                <w:szCs w:val="24"/>
              </w:rPr>
              <w:t xml:space="preserve">Viešai prieinamos elektromobilių įkrovimo infrastruktūros įrengimas ir plėtra“ </w:t>
            </w:r>
            <w:proofErr w:type="spellStart"/>
            <w:r>
              <w:rPr>
                <w:szCs w:val="24"/>
              </w:rPr>
              <w:t>poveiklės</w:t>
            </w:r>
            <w:proofErr w:type="spellEnd"/>
            <w:r>
              <w:rPr>
                <w:szCs w:val="24"/>
              </w:rPr>
              <w:t xml:space="preserve"> „Viešai prieinamos įkrovimo infrastruktūros sunkiajam elektriniam transportui ir (arba) autobusams įrengimas“  projektų finansavimo sąlygų apraše (toliau – Aprašas) ir / ar kvietime teikti paraiškas nurodytus įkrovimo infrastruktūros įrengimą įrodančius dokumentus.</w:t>
            </w:r>
          </w:p>
        </w:tc>
      </w:tr>
      <w:tr w:rsidR="00531D10" w14:paraId="7B78FF0A" w14:textId="77777777" w:rsidTr="00687537">
        <w:tc>
          <w:tcPr>
            <w:tcW w:w="4875" w:type="dxa"/>
          </w:tcPr>
          <w:p w14:paraId="2F963AD0" w14:textId="77777777" w:rsidR="00531D10" w:rsidRDefault="00531D10" w:rsidP="00687537">
            <w:pPr>
              <w:tabs>
                <w:tab w:val="left" w:pos="289"/>
              </w:tabs>
              <w:ind w:firstLine="5"/>
              <w:jc w:val="both"/>
              <w:rPr>
                <w:rFonts w:eastAsia="Calibri"/>
                <w:szCs w:val="24"/>
              </w:rPr>
            </w:pPr>
            <w:r>
              <w:rPr>
                <w:rFonts w:eastAsia="Calibri"/>
                <w:szCs w:val="24"/>
              </w:rPr>
              <w:t>2.</w:t>
            </w:r>
            <w:r>
              <w:rPr>
                <w:rFonts w:eastAsia="Calibri"/>
                <w:szCs w:val="24"/>
              </w:rPr>
              <w:tab/>
              <w:t>Prisitaikymas prie klimato kaitos</w:t>
            </w:r>
          </w:p>
        </w:tc>
        <w:tc>
          <w:tcPr>
            <w:tcW w:w="4649" w:type="dxa"/>
          </w:tcPr>
          <w:p w14:paraId="315AF742" w14:textId="77777777" w:rsidR="00531D10" w:rsidRDefault="00531D10" w:rsidP="00687537">
            <w:pPr>
              <w:jc w:val="both"/>
              <w:rPr>
                <w:szCs w:val="24"/>
              </w:rPr>
            </w:pPr>
            <w:r>
              <w:rPr>
                <w:szCs w:val="24"/>
              </w:rPr>
              <w:t xml:space="preserve">Vertinama, kad planuojama įgyvendinti </w:t>
            </w:r>
            <w:proofErr w:type="spellStart"/>
            <w:r>
              <w:rPr>
                <w:szCs w:val="24"/>
              </w:rPr>
              <w:t>poveiklė</w:t>
            </w:r>
            <w:proofErr w:type="spellEnd"/>
            <w:r>
              <w:rPr>
                <w:szCs w:val="24"/>
              </w:rPr>
              <w:t xml:space="preserve"> „Viešai </w:t>
            </w:r>
            <w:r>
              <w:rPr>
                <w:szCs w:val="24"/>
              </w:rPr>
              <w:lastRenderedPageBreak/>
              <w:t>prieinamos įkrovimo infrastruktūros sunkiajam elektriniam transportui įrengimas“ neturi jokio numatomo poveikio šiam aplinkos tikslui arba numatomas jos poveikis yra nereikšmingas, t. y. nedaro tiesioginio ir pirminio netiesioginio poveikio per visą gyvavimo ciklą, todėl laikoma, kad investicija atitinka prisitaikymo prie klimato kaitos tikslą.</w:t>
            </w:r>
          </w:p>
          <w:p w14:paraId="09CC7393" w14:textId="77777777" w:rsidR="00531D10" w:rsidRDefault="00531D10" w:rsidP="00687537">
            <w:pPr>
              <w:jc w:val="both"/>
              <w:rPr>
                <w:szCs w:val="24"/>
              </w:rPr>
            </w:pPr>
            <w:r>
              <w:t>Vadovaujantis Reglamento (ES) 2021/241 VI priedo klasifikatoriumi taikomas 100 proc. paramos, siekiant su klimato kaita susijusių tikslų, skaičiavimo koeficientas (077).</w:t>
            </w:r>
          </w:p>
          <w:p w14:paraId="037A84A8" w14:textId="77777777" w:rsidR="00531D10" w:rsidRDefault="00531D10" w:rsidP="00687537">
            <w:pPr>
              <w:jc w:val="both"/>
              <w:rPr>
                <w:szCs w:val="24"/>
              </w:rPr>
            </w:pPr>
            <w:r>
              <w:rPr>
                <w:szCs w:val="24"/>
              </w:rPr>
              <w:t>Planuojamos investicijos neturės neigiamos įtakos prisitaikymo prie klimato kaitos pastangoms ar atsparumui žmonių, gamtos, turto ir kitos ekonominės veiklos rizikai ir yra suderinti su vietos, sektoriaus ir šalies prisitaikymo pastangomis.</w:t>
            </w:r>
          </w:p>
          <w:p w14:paraId="0E3FC1A1" w14:textId="77777777" w:rsidR="00531D10" w:rsidRDefault="00531D10" w:rsidP="00687537">
            <w:pPr>
              <w:jc w:val="both"/>
              <w:rPr>
                <w:rFonts w:eastAsia="Calibri"/>
                <w:bCs/>
                <w:szCs w:val="24"/>
              </w:rPr>
            </w:pPr>
            <w:r>
              <w:rPr>
                <w:szCs w:val="24"/>
              </w:rPr>
              <w:t>Investicija atitinka Alternatyviųjų degalų įstatymo ir Direktyvos (ES) 2018/2001 (RED II) nuostatas, įkrovimo infrastruktūra bus tiekiama elektros energija iš atsinaujinančių energijos išteklių.</w:t>
            </w:r>
          </w:p>
        </w:tc>
        <w:tc>
          <w:tcPr>
            <w:tcW w:w="5325" w:type="dxa"/>
          </w:tcPr>
          <w:p w14:paraId="3EF3F17D" w14:textId="77777777" w:rsidR="00531D10" w:rsidRDefault="00531D10" w:rsidP="00687537">
            <w:pPr>
              <w:jc w:val="both"/>
              <w:rPr>
                <w:rFonts w:eastAsia="Calibri"/>
                <w:bCs/>
                <w:szCs w:val="24"/>
              </w:rPr>
            </w:pPr>
            <w:r>
              <w:rPr>
                <w:szCs w:val="24"/>
              </w:rPr>
              <w:lastRenderedPageBreak/>
              <w:t xml:space="preserve">Projekto finansuojama veikla ir rezultatas – įrengtos viešai </w:t>
            </w:r>
            <w:r>
              <w:rPr>
                <w:szCs w:val="24"/>
              </w:rPr>
              <w:lastRenderedPageBreak/>
              <w:t xml:space="preserve">prieinamos įkrovimo stotelės – </w:t>
            </w:r>
            <w:r>
              <w:rPr>
                <w:rFonts w:eastAsia="Calibri"/>
                <w:bCs/>
                <w:szCs w:val="24"/>
              </w:rPr>
              <w:t>neturės tiesioginio ar netiesioginio neigiamo poveikio prisitaikymo prie klimato kaitos tikslui, todėl pagrindimo dokumentai neteikiami.</w:t>
            </w:r>
          </w:p>
          <w:p w14:paraId="2F842480" w14:textId="77777777" w:rsidR="00531D10" w:rsidRDefault="00531D10" w:rsidP="00687537">
            <w:pPr>
              <w:jc w:val="both"/>
              <w:rPr>
                <w:szCs w:val="24"/>
              </w:rPr>
            </w:pPr>
            <w:r>
              <w:rPr>
                <w:szCs w:val="24"/>
              </w:rPr>
              <w:t>Kartu su mokėjimo prašymu JP projekto vykdytojas teiks Apraše ir (ar) kvietime teikti paraiškas nurodytus įkrovimo infrastruktūros įrengimą įrodančius dokumentus.</w:t>
            </w:r>
          </w:p>
        </w:tc>
      </w:tr>
      <w:tr w:rsidR="00531D10" w14:paraId="1F3456E3" w14:textId="77777777" w:rsidTr="00687537">
        <w:tc>
          <w:tcPr>
            <w:tcW w:w="4875" w:type="dxa"/>
          </w:tcPr>
          <w:p w14:paraId="6BDD19D7" w14:textId="77777777" w:rsidR="00531D10" w:rsidRDefault="00531D10" w:rsidP="00687537">
            <w:pPr>
              <w:tabs>
                <w:tab w:val="left" w:pos="289"/>
              </w:tabs>
              <w:ind w:firstLine="5"/>
              <w:jc w:val="both"/>
              <w:rPr>
                <w:rFonts w:eastAsia="Calibri"/>
                <w:szCs w:val="24"/>
              </w:rPr>
            </w:pPr>
            <w:r>
              <w:rPr>
                <w:rFonts w:eastAsia="Calibri"/>
                <w:szCs w:val="24"/>
              </w:rPr>
              <w:lastRenderedPageBreak/>
              <w:t>3.</w:t>
            </w:r>
            <w:r>
              <w:rPr>
                <w:rFonts w:eastAsia="Calibri"/>
                <w:szCs w:val="24"/>
              </w:rPr>
              <w:tab/>
            </w:r>
            <w:r w:rsidRPr="00D83937">
              <w:rPr>
                <w:rFonts w:eastAsia="Calibri"/>
                <w:szCs w:val="24"/>
              </w:rPr>
              <w:t>Tausus vandens ir jūrų išteklių naudojimas ir apsauga</w:t>
            </w:r>
          </w:p>
        </w:tc>
        <w:tc>
          <w:tcPr>
            <w:tcW w:w="4649" w:type="dxa"/>
          </w:tcPr>
          <w:p w14:paraId="1C354D03" w14:textId="77777777" w:rsidR="00531D10" w:rsidRPr="00D83937" w:rsidRDefault="00531D10" w:rsidP="00687537">
            <w:pPr>
              <w:jc w:val="both"/>
              <w:rPr>
                <w:bCs/>
                <w:szCs w:val="24"/>
              </w:rPr>
            </w:pPr>
            <w:r w:rsidRPr="00D83937">
              <w:rPr>
                <w:bCs/>
                <w:szCs w:val="24"/>
              </w:rPr>
              <w:t xml:space="preserve">Vertinama, kad planuojama įgyvendinti </w:t>
            </w:r>
            <w:proofErr w:type="spellStart"/>
            <w:r w:rsidRPr="00D83937">
              <w:rPr>
                <w:bCs/>
                <w:szCs w:val="24"/>
              </w:rPr>
              <w:t>poveiklė</w:t>
            </w:r>
            <w:proofErr w:type="spellEnd"/>
            <w:r w:rsidRPr="00D83937">
              <w:rPr>
                <w:bCs/>
                <w:szCs w:val="24"/>
              </w:rPr>
              <w:t xml:space="preserve"> „Viešai prieinamos įkrovimo infrastruktūros sunkiajam elektriniam transportui įrengimas“ neturi jokio numatomo poveikio šiam aplinkos tikslui arba numatomas jos poveikis yra nereikšmingas, t. y. nedaro tiesioginio ir pirminio netiesioginio poveikio per visą gyvavimo ciklą, todėl laikoma, kad investicija atitinka tausaus vandens ir jūrų išteklių naudojimo ir apsaugos tikslą.</w:t>
            </w:r>
          </w:p>
          <w:p w14:paraId="43D821F7" w14:textId="77777777" w:rsidR="00531D10" w:rsidRPr="00D83937" w:rsidRDefault="00531D10" w:rsidP="00687537">
            <w:pPr>
              <w:jc w:val="both"/>
              <w:rPr>
                <w:bCs/>
                <w:szCs w:val="24"/>
              </w:rPr>
            </w:pPr>
            <w:r w:rsidRPr="00D83937">
              <w:rPr>
                <w:bCs/>
                <w:szCs w:val="24"/>
              </w:rPr>
              <w:lastRenderedPageBreak/>
              <w:t>Investicinės veiklos neturės jokio neigiamo tiesioginio ar netiesioginio poveikio tausaus vandens ir jūrų išteklių naudojimo ir apsaugos tikslui, nes neplanuojama statyti jokios infrastruktūros vandens telkinių apsaugos zonose ir neplanuojama kurti būsimos infrastruktūros arti vandens telkinių, kas galėtų turėti neigiamą poveikį tausaus vandens ir jūrų išteklių naudojimui.</w:t>
            </w:r>
          </w:p>
          <w:p w14:paraId="559BCB35" w14:textId="77777777" w:rsidR="00531D10" w:rsidRPr="00D83937" w:rsidRDefault="00531D10" w:rsidP="00687537">
            <w:pPr>
              <w:jc w:val="both"/>
              <w:rPr>
                <w:bCs/>
                <w:szCs w:val="24"/>
              </w:rPr>
            </w:pPr>
            <w:r w:rsidRPr="00D83937">
              <w:rPr>
                <w:bCs/>
                <w:szCs w:val="24"/>
              </w:rPr>
              <w:t>Pagal 2011 m. gruodžio 13 d. Europos Parlamento ir Tarybos direktyvą 2011/92/ES dėl tam tikrų valstybės ir privačių projektų poveikio aplinkai vertinimo su paskutiniais pakeitimais, padarytais 2014 m. balandžio 16 d. Europos Parlamento ir Tarybos direktyva 2014/52/ES, bus atliktas poveikio aplinkai vertinimas (toliau – PAV) arba analizė (procedūra, pagal kurią kompetentinga institucija nustato, ar turi būti atliekamas Direktyvos 2011/92/ES II priede išvardytų projektų PAV (kaip nurodyta Direktyvos 2011/92/ES 4 straipsnio 2 dalyje). Jei bus atliktas PAV, nustatyti neatitikimai ar rizikos dėl žalos padarymo vandens ištekliams turės būti nedelsiant pašalinami.</w:t>
            </w:r>
          </w:p>
          <w:p w14:paraId="54CF9F39" w14:textId="77777777" w:rsidR="00531D10" w:rsidRDefault="00531D10" w:rsidP="00687537">
            <w:pPr>
              <w:jc w:val="both"/>
              <w:rPr>
                <w:rFonts w:eastAsia="Calibri"/>
              </w:rPr>
            </w:pPr>
          </w:p>
        </w:tc>
        <w:tc>
          <w:tcPr>
            <w:tcW w:w="5325" w:type="dxa"/>
          </w:tcPr>
          <w:p w14:paraId="3C1C27EC" w14:textId="77777777" w:rsidR="00531D10" w:rsidRDefault="00531D10" w:rsidP="00687537">
            <w:pPr>
              <w:tabs>
                <w:tab w:val="left" w:pos="556"/>
              </w:tabs>
              <w:ind w:left="35" w:firstLine="24"/>
              <w:jc w:val="both"/>
              <w:rPr>
                <w:szCs w:val="24"/>
                <w:lang w:eastAsia="lt-LT"/>
              </w:rPr>
            </w:pPr>
            <w:r w:rsidRPr="00D83937">
              <w:rPr>
                <w:szCs w:val="24"/>
              </w:rPr>
              <w:lastRenderedPageBreak/>
              <w:t xml:space="preserve">Vadovaujantis Lietuvos Respublikos planuojamos ūkinės veiklos poveikio aplinkai vertinimo įstatymu, iki paraiškos pateikimo pareiškėjas turi būti atlikęs poveikio aplinkai vertinimą ir turi būti pateikti atsakingos institucijos galiojantys dokumentai </w:t>
            </w:r>
            <w:r w:rsidRPr="00D83937">
              <w:rPr>
                <w:i/>
                <w:iCs/>
                <w:szCs w:val="24"/>
              </w:rPr>
              <w:t>(jeigu taikoma)</w:t>
            </w:r>
            <w:r w:rsidRPr="00D83937">
              <w:rPr>
                <w:szCs w:val="24"/>
              </w:rPr>
              <w:t xml:space="preserve">. Paraiškoje pateiktas pagrindimas apie statomų įrenginių vietovę, kur numatyta statyti įrenginius su nuorodomis ar vietovės žemėlapio kopijomis, įrodančiomis, kad neplanuojama </w:t>
            </w:r>
            <w:r w:rsidRPr="00D83937">
              <w:rPr>
                <w:szCs w:val="24"/>
              </w:rPr>
              <w:lastRenderedPageBreak/>
              <w:t>statyti jokios infrastruktūros arba neplanuojama kurti būsimos infrastruktūros vandens telkinių apsaugos juostose, kas galėtų turėti neigiamą poveikį tausaus vandens ir jūrų išteklių naudojimui, kita aktuali informacija ir (ar) dokumentai</w:t>
            </w:r>
            <w:r>
              <w:rPr>
                <w:szCs w:val="24"/>
              </w:rPr>
              <w:t>.</w:t>
            </w:r>
          </w:p>
        </w:tc>
      </w:tr>
      <w:tr w:rsidR="00531D10" w14:paraId="7407CF70" w14:textId="77777777" w:rsidTr="00687537">
        <w:tc>
          <w:tcPr>
            <w:tcW w:w="4875" w:type="dxa"/>
          </w:tcPr>
          <w:p w14:paraId="35F60740" w14:textId="77777777" w:rsidR="00531D10" w:rsidRDefault="00531D10" w:rsidP="00687537">
            <w:pPr>
              <w:tabs>
                <w:tab w:val="left" w:pos="289"/>
              </w:tabs>
              <w:ind w:firstLine="5"/>
              <w:jc w:val="both"/>
              <w:rPr>
                <w:rFonts w:eastAsia="Calibri"/>
                <w:szCs w:val="24"/>
              </w:rPr>
            </w:pPr>
            <w:r>
              <w:rPr>
                <w:rFonts w:eastAsia="Calibri"/>
                <w:szCs w:val="24"/>
              </w:rPr>
              <w:lastRenderedPageBreak/>
              <w:t>4.</w:t>
            </w:r>
            <w:r>
              <w:rPr>
                <w:rFonts w:eastAsia="Calibri"/>
                <w:szCs w:val="24"/>
              </w:rPr>
              <w:tab/>
              <w:t>Perėjimas prie žiedinės ekonomikos, įskaitant atliekų prevenciją ir perdirbimą</w:t>
            </w:r>
          </w:p>
        </w:tc>
        <w:tc>
          <w:tcPr>
            <w:tcW w:w="4649" w:type="dxa"/>
          </w:tcPr>
          <w:p w14:paraId="3A80F259" w14:textId="77777777" w:rsidR="00531D10" w:rsidRDefault="00531D10" w:rsidP="00687537">
            <w:pPr>
              <w:tabs>
                <w:tab w:val="left" w:pos="1245"/>
              </w:tabs>
              <w:jc w:val="both"/>
              <w:rPr>
                <w:bCs/>
                <w:szCs w:val="24"/>
              </w:rPr>
            </w:pPr>
            <w:r>
              <w:rPr>
                <w:bCs/>
                <w:szCs w:val="24"/>
              </w:rPr>
              <w:t xml:space="preserve">Vertinama, kad planuojama įgyvendinti </w:t>
            </w:r>
            <w:proofErr w:type="spellStart"/>
            <w:r>
              <w:rPr>
                <w:bCs/>
                <w:szCs w:val="24"/>
              </w:rPr>
              <w:t>poveiklė</w:t>
            </w:r>
            <w:proofErr w:type="spellEnd"/>
            <w:r>
              <w:rPr>
                <w:bCs/>
                <w:szCs w:val="24"/>
              </w:rPr>
              <w:t xml:space="preserve"> </w:t>
            </w:r>
            <w:r>
              <w:rPr>
                <w:szCs w:val="24"/>
              </w:rPr>
              <w:t xml:space="preserve">„Viešai prieinamos įkrovimo infrastruktūros sunkiajam elektriniam transportui įrengimas“ </w:t>
            </w:r>
            <w:r>
              <w:rPr>
                <w:bCs/>
                <w:szCs w:val="24"/>
              </w:rPr>
              <w:t xml:space="preserve">neturi jokio numatomo poveikio šiam aplinkos tikslui arba numatomas jos poveikis yra nereikšmingas, t. y. nedaro tiesioginio ir pirminio netiesioginio poveikio per visą gyvavimo ciklą, todėl laikoma, kad investicinės priemonės </w:t>
            </w:r>
            <w:r>
              <w:rPr>
                <w:bCs/>
                <w:szCs w:val="24"/>
              </w:rPr>
              <w:lastRenderedPageBreak/>
              <w:t>atitinka žiedinės ekonomikos, įskaitant atliekų prevenciją ir perdirbimą, tikslą.</w:t>
            </w:r>
          </w:p>
          <w:p w14:paraId="7FDE20D6" w14:textId="77777777" w:rsidR="00531D10" w:rsidRDefault="00531D10" w:rsidP="00687537">
            <w:pPr>
              <w:jc w:val="both"/>
              <w:rPr>
                <w:szCs w:val="24"/>
              </w:rPr>
            </w:pPr>
            <w:r>
              <w:rPr>
                <w:szCs w:val="24"/>
              </w:rPr>
              <w:t>Investicinės veiklos neturės jokio neigiamo tiesioginio ar netiesioginio poveikio žiedinės ekonomikos, įskaitant atliekų prevenciją ir perdirbimą, tikslui, nes įgyvendinant Apraše numatytas veiklas užtikrinamas efektyvus atliekų surinkimas, skatinamas atskirų dalių pakartotinis naudojimas bei statytojams numatyti reikalavimai riboti atliekų susidarymą statybų metu, taikyti naujausius metodus, pakartotinį medžiagų naudojimą ar perdirbimą, naudojantis pažangiomis statybinių atliekų rūšiavimo sistemomis.</w:t>
            </w:r>
          </w:p>
          <w:p w14:paraId="079EB026" w14:textId="77777777" w:rsidR="00531D10" w:rsidRDefault="00531D10" w:rsidP="00687537">
            <w:pPr>
              <w:tabs>
                <w:tab w:val="left" w:pos="520"/>
              </w:tabs>
              <w:jc w:val="both"/>
              <w:rPr>
                <w:szCs w:val="24"/>
              </w:rPr>
            </w:pPr>
            <w:r>
              <w:rPr>
                <w:szCs w:val="24"/>
              </w:rPr>
              <w:t>Numatoma:</w:t>
            </w:r>
          </w:p>
          <w:p w14:paraId="6DD865C3" w14:textId="77777777" w:rsidR="00531D10" w:rsidRDefault="00531D10" w:rsidP="00687537">
            <w:pPr>
              <w:tabs>
                <w:tab w:val="left" w:pos="466"/>
              </w:tabs>
              <w:jc w:val="both"/>
              <w:rPr>
                <w:szCs w:val="24"/>
              </w:rPr>
            </w:pPr>
            <w:r>
              <w:t xml:space="preserve">Mažiausiai 70 procentų (pagal svorį) nepavojingų statybinių ir griovimo atliekų (išskyrus natūraliai atsirandančias medžiagas, nurodytas 2000 m. gegužės 3 d. Komisijos sprendimo 2000/532/EB, keičiančio sprendimą 94/3/EB, nustatantį atliekų sąrašą pagal Tarybos direktyvos 75/442/EEB dėl atliekų 1 straipsnio a dalį, ir Tarybos sprendimą 94/904/EB, nustatantį pavojingų atliekų sąrašą pagal Tarybos direktyvos 91/698/EEB dėl pavojingų medžiagų 1 straipsnio 4 dalį, 17 05 04 kategorijoje), statybvietėje susidarančios atliekos turėtų būti parengtos pakartotinai naudoti, perdirbti ar galimos panaudoti kitoms medžiagoms, įskaitant užpildymo operacijas, naudojant atliekas kitoms medžiagoms pakeisti, laikantis atliekų hierarchijos, nustatytos 2008 m. lapkričio 19 d. Europos Parlamento ir Tarybos </w:t>
            </w:r>
            <w:r>
              <w:lastRenderedPageBreak/>
              <w:t>direktyvoje 2008/98/EB dėl atliekų ir panaikinančioje kai kurias direktyvas, ir Europos Sąjungos statybos ir griovimo atliekų tvarkymo protokolo.</w:t>
            </w:r>
          </w:p>
          <w:p w14:paraId="21C4E061" w14:textId="77777777" w:rsidR="00531D10" w:rsidRDefault="00531D10" w:rsidP="00687537">
            <w:pPr>
              <w:tabs>
                <w:tab w:val="left" w:pos="466"/>
              </w:tabs>
              <w:jc w:val="both"/>
              <w:rPr>
                <w:rFonts w:eastAsia="Calibri"/>
                <w:iCs/>
                <w:szCs w:val="24"/>
              </w:rPr>
            </w:pPr>
            <w:r>
              <w:rPr>
                <w:szCs w:val="24"/>
              </w:rPr>
              <w:t>Pareiškėjas</w:t>
            </w:r>
            <w:r>
              <w:rPr>
                <w:iCs/>
                <w:szCs w:val="24"/>
              </w:rPr>
              <w:t>, rangovai (subrangovai) bus įpareigoti riboti atliekų susidarymą procesuose, susijusiuose su statyba ir griovimu, laikydamiesi Europos Sąjungos statybos ir griovimo atliekų tvarkymo protokolo, atsižvelgdami į geriausius taikomus metodus ir naudodami selektyvų griovimą, kad būtų galima pašalinti ir saugiai tvarkyti pavojingas medžiagas ir palengvinti pakartotinį jų perdirbimą.</w:t>
            </w:r>
            <w:r>
              <w:rPr>
                <w:rFonts w:eastAsia="Calibri"/>
                <w:iCs/>
                <w:szCs w:val="24"/>
              </w:rPr>
              <w:t xml:space="preserve"> Statybinės atliekos Lietuvos Respublikos atliekų tvarkymo įstatymo ir kitų teisės aktų nustatyta tvarka bus perduodamos atliekų tvarkytojams, turintiems teisę tvarkyti tokias atliekas (</w:t>
            </w:r>
            <w:r>
              <w:rPr>
                <w:iCs/>
                <w:szCs w:val="24"/>
              </w:rPr>
              <w:t xml:space="preserve">Atliekų tvarkymo įstatymo 4 straipsnio 1 dalis, Atliekų tvarkymo taisyklių, patvirtintų </w:t>
            </w:r>
            <w:r>
              <w:rPr>
                <w:rFonts w:eastAsia="Calibri"/>
                <w:iCs/>
                <w:szCs w:val="24"/>
              </w:rPr>
              <w:t xml:space="preserve">Lietuvos Respublikos aplinkos ministro </w:t>
            </w:r>
            <w:r>
              <w:rPr>
                <w:iCs/>
                <w:szCs w:val="24"/>
              </w:rPr>
              <w:t xml:space="preserve">1999 m. liepos 14 d. </w:t>
            </w:r>
            <w:r>
              <w:rPr>
                <w:rFonts w:eastAsia="Calibri"/>
                <w:iCs/>
                <w:szCs w:val="24"/>
              </w:rPr>
              <w:t xml:space="preserve">įsakymu Nr. 217 „Dėl Atliekų tvarkymo taisyklių patvirtinimo“, </w:t>
            </w:r>
            <w:r>
              <w:rPr>
                <w:iCs/>
                <w:szCs w:val="24"/>
              </w:rPr>
              <w:t>7 ir 9 punktai)</w:t>
            </w:r>
            <w:r>
              <w:rPr>
                <w:iCs/>
                <w:szCs w:val="24"/>
                <w:lang w:eastAsia="en-GB"/>
              </w:rPr>
              <w:t>.</w:t>
            </w:r>
            <w:r>
              <w:rPr>
                <w:rFonts w:eastAsia="Calibri"/>
                <w:iCs/>
                <w:szCs w:val="24"/>
              </w:rPr>
              <w:t xml:space="preserve"> Statybinių atliekų tvarkymo taisyklių, </w:t>
            </w:r>
            <w:r>
              <w:rPr>
                <w:iCs/>
                <w:szCs w:val="24"/>
              </w:rPr>
              <w:t>patvirtintų Lietuvos Respublikos aplinkos ministro 2006 m. gruodžio 29 d. įsakymu Nr. D1-637 „Dėl Statybinių atliekų tvarkymo taisyklių patvirtinimo“, 7 punkte</w:t>
            </w:r>
            <w:r>
              <w:rPr>
                <w:rFonts w:eastAsia="Calibri"/>
                <w:iCs/>
                <w:szCs w:val="24"/>
              </w:rPr>
              <w:t xml:space="preserve"> nustatyta, kad statybvietėje turi būti išrūšiuotos ir atskirai laikinai laikomos susidarančios komunalinės atliekos, inertinės atliekos, perdirbti ir pakartotinai naudoti tinkamos atliekos, pavojingosios atliekos ir netinkamos perdirbti atliekos. Išrūšiuotos atliekos bus perduodamos įmonėms, </w:t>
            </w:r>
            <w:r>
              <w:rPr>
                <w:rFonts w:eastAsia="Calibri"/>
                <w:iCs/>
                <w:szCs w:val="24"/>
              </w:rPr>
              <w:lastRenderedPageBreak/>
              <w:t>turinčioms teisę tvarkyti tokias atliekas pagal sutartis dėl jų naudojimo ir šalinimo. Susidariusios asbesto turinčių gaminių atliekos bus šalinamos nustatyta tvarka atskiroje sekcijoje, įrengtoje prie bet kokios klasės sąvartyno pagal inertinių atliekų sąvartynų reikalavimus ir pažymėtoje įspėjamaisiais užrašais (</w:t>
            </w:r>
            <w:r>
              <w:rPr>
                <w:iCs/>
                <w:szCs w:val="24"/>
              </w:rPr>
              <w:t>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w:t>
            </w:r>
            <w:r>
              <w:rPr>
                <w:iCs/>
                <w:szCs w:val="24"/>
                <w:bdr w:val="none" w:sz="0" w:space="0" w:color="auto" w:frame="1"/>
                <w:lang w:eastAsia="lt-LT"/>
              </w:rPr>
              <w:t xml:space="preserve"> 43 punktas)</w:t>
            </w:r>
            <w:r>
              <w:rPr>
                <w:rFonts w:eastAsia="Calibri"/>
                <w:iCs/>
                <w:szCs w:val="24"/>
              </w:rPr>
              <w:t>. Tvarkant atliekas bus vadovaujamasi Europos Sąjungos geriausiais prieinamais gamybos būdais (GPGB), taikomais atliekų apdorojimui.</w:t>
            </w:r>
          </w:p>
          <w:p w14:paraId="18E0AA81" w14:textId="77777777" w:rsidR="00531D10" w:rsidRDefault="00531D10" w:rsidP="00687537">
            <w:pPr>
              <w:jc w:val="both"/>
              <w:rPr>
                <w:rFonts w:eastAsia="Calibri"/>
              </w:rPr>
            </w:pPr>
            <w:r>
              <w:t xml:space="preserve">Pasibaigus įrangos eksploatavimo laikui, ji bus saugiai paruošta pakartotinai naudoti ar perdirbti pagal parengtą atliekų tvarkymo planą, užtikrinantį maksimalų elektros ir elektroninės įrangos perdirbimą pasibaigus jos eksploatavimo laikui, kaip tai numato </w:t>
            </w:r>
            <w:r>
              <w:rPr>
                <w:shd w:val="clear" w:color="auto" w:fill="FFFFFF"/>
              </w:rPr>
              <w:t>2012 m. liepos 4 d. Europos Parlamento ir Tarybos direktyva 2012/19/ES dėl elektros ir elektroninės įrangos atliekų</w:t>
            </w:r>
            <w:r>
              <w:t>.</w:t>
            </w:r>
          </w:p>
        </w:tc>
        <w:tc>
          <w:tcPr>
            <w:tcW w:w="5325" w:type="dxa"/>
          </w:tcPr>
          <w:p w14:paraId="7DF9D25A" w14:textId="77777777" w:rsidR="00531D10" w:rsidRDefault="00531D10" w:rsidP="00687537">
            <w:pPr>
              <w:tabs>
                <w:tab w:val="left" w:pos="299"/>
              </w:tabs>
              <w:ind w:left="16"/>
              <w:jc w:val="both"/>
              <w:rPr>
                <w:rFonts w:eastAsia="Calibri"/>
                <w:szCs w:val="24"/>
              </w:rPr>
            </w:pPr>
            <w:r>
              <w:rPr>
                <w:rFonts w:eastAsia="Calibri"/>
                <w:bCs/>
                <w:szCs w:val="24"/>
              </w:rPr>
              <w:lastRenderedPageBreak/>
              <w:t>Pareiškėjas paraiškoje turi patvirtinti, kad bus laikomasi reikalavimų dėl statybinių atliekų susidarymo ir tvarkymo,</w:t>
            </w:r>
            <w:r>
              <w:rPr>
                <w:rFonts w:eastAsia="Calibri"/>
                <w:szCs w:val="24"/>
              </w:rPr>
              <w:t xml:space="preserve"> nustatytų Statybinių atliekų tvarkymo taisyklėse, patvirtintose Lietuvos Respublikos aplinkos ministro 2006 m. gruodžio 29 d. įsakymu Nr. D1-637 „Dėl Statybinių atliekų tvarkymo taisyklių patvirtinimo“, pateikti informaciją, kaip bus utilizuota </w:t>
            </w:r>
            <w:r>
              <w:rPr>
                <w:rFonts w:eastAsia="Calibri"/>
                <w:szCs w:val="24"/>
              </w:rPr>
              <w:lastRenderedPageBreak/>
              <w:t>įranga pasibaigus jos eksploatacijos laikui,</w:t>
            </w:r>
            <w:r>
              <w:rPr>
                <w:szCs w:val="24"/>
              </w:rPr>
              <w:t xml:space="preserve"> kitą aktualią informaciją ir (ar) dokumentus.</w:t>
            </w:r>
          </w:p>
        </w:tc>
      </w:tr>
      <w:tr w:rsidR="00531D10" w14:paraId="3E6A7C91" w14:textId="77777777" w:rsidTr="00687537">
        <w:tc>
          <w:tcPr>
            <w:tcW w:w="4875" w:type="dxa"/>
          </w:tcPr>
          <w:p w14:paraId="6AADE88E" w14:textId="77777777" w:rsidR="00531D10" w:rsidRDefault="00531D10" w:rsidP="00687537">
            <w:pPr>
              <w:tabs>
                <w:tab w:val="left" w:pos="289"/>
              </w:tabs>
              <w:ind w:firstLine="5"/>
              <w:jc w:val="both"/>
              <w:rPr>
                <w:rFonts w:eastAsia="Calibri"/>
                <w:szCs w:val="24"/>
              </w:rPr>
            </w:pPr>
            <w:r>
              <w:rPr>
                <w:rFonts w:eastAsia="Calibri"/>
                <w:szCs w:val="24"/>
              </w:rPr>
              <w:lastRenderedPageBreak/>
              <w:t>5.</w:t>
            </w:r>
            <w:r>
              <w:rPr>
                <w:rFonts w:eastAsia="Calibri"/>
                <w:szCs w:val="24"/>
              </w:rPr>
              <w:tab/>
            </w:r>
            <w:r>
              <w:rPr>
                <w:rFonts w:eastAsia="Calibri"/>
                <w:bCs/>
                <w:szCs w:val="24"/>
              </w:rPr>
              <w:t>Oro, vandens ar žemės taršos prevencija ir kontrolė</w:t>
            </w:r>
          </w:p>
        </w:tc>
        <w:tc>
          <w:tcPr>
            <w:tcW w:w="4649" w:type="dxa"/>
          </w:tcPr>
          <w:p w14:paraId="2CBF8CF1" w14:textId="77777777" w:rsidR="00531D10" w:rsidRDefault="00531D10" w:rsidP="00687537">
            <w:pPr>
              <w:jc w:val="both"/>
              <w:rPr>
                <w:szCs w:val="24"/>
              </w:rPr>
            </w:pPr>
            <w:r>
              <w:rPr>
                <w:szCs w:val="24"/>
              </w:rPr>
              <w:t>Vertinama, kad planuojama įgyvendinti</w:t>
            </w:r>
            <w:r>
              <w:rPr>
                <w:b/>
                <w:bCs/>
                <w:szCs w:val="24"/>
              </w:rPr>
              <w:t xml:space="preserve"> </w:t>
            </w:r>
            <w:proofErr w:type="spellStart"/>
            <w:r>
              <w:rPr>
                <w:szCs w:val="24"/>
              </w:rPr>
              <w:t>poveiklė</w:t>
            </w:r>
            <w:proofErr w:type="spellEnd"/>
            <w:r>
              <w:rPr>
                <w:szCs w:val="24"/>
              </w:rPr>
              <w:t xml:space="preserve"> „Viešai prieinamos įkrovimo infrastruktūros sunkiajam elektriniam transportui įrengimas“ neturi jokio numatomo poveikio šiam aplinkos tikslui arba numatomas jos poveikis yra nereikšmingas, t. y. nedaro tiesioginio ir pirminio </w:t>
            </w:r>
            <w:r>
              <w:rPr>
                <w:szCs w:val="24"/>
              </w:rPr>
              <w:lastRenderedPageBreak/>
              <w:t>netiesioginio poveikio per visą gyvavimo ciklą, todėl laikoma, kad investicija atitinka oro, vandens ar žemės taršos prevencijos ir kontrolės tikslą.</w:t>
            </w:r>
          </w:p>
          <w:p w14:paraId="4B8ECEF8" w14:textId="77777777" w:rsidR="00531D10" w:rsidRDefault="00531D10" w:rsidP="00687537">
            <w:pPr>
              <w:ind w:firstLine="62"/>
              <w:jc w:val="both"/>
              <w:rPr>
                <w:rFonts w:eastAsia="Calibri"/>
                <w:bCs/>
                <w:szCs w:val="24"/>
              </w:rPr>
            </w:pPr>
            <w:r>
              <w:rPr>
                <w:szCs w:val="24"/>
              </w:rPr>
              <w:t>Investicinės veiklos neturės jokio neigiamo tiesioginio ar netiesioginio poveikio šiam aplinkos tikslui, nes sukuriama infrastruktūra sudaromos sąlygos naudoti visai netaršias transporto priemones, kuriomis pakeičiamos taršios transporto priemonės, taip reikšmingai mažinant oro taršą. Infrastruktūra turės būti įrengta vadovaujantis nustatytais nacionaliniais reikalavimais. Imamasi priemonių, kuriomis mažinamas atliekant statybos ar techninės priežiūros darbus keliamas triukšmas ir susidarantis dulkių bei išmetamųjų teršalų kiekis.</w:t>
            </w:r>
          </w:p>
        </w:tc>
        <w:tc>
          <w:tcPr>
            <w:tcW w:w="5325" w:type="dxa"/>
          </w:tcPr>
          <w:p w14:paraId="40A6DCA1" w14:textId="77777777" w:rsidR="00531D10" w:rsidRDefault="00531D10" w:rsidP="00687537">
            <w:pPr>
              <w:jc w:val="both"/>
              <w:rPr>
                <w:rFonts w:eastAsia="Calibri"/>
                <w:bCs/>
                <w:szCs w:val="24"/>
              </w:rPr>
            </w:pPr>
            <w:r>
              <w:rPr>
                <w:szCs w:val="24"/>
              </w:rPr>
              <w:lastRenderedPageBreak/>
              <w:t xml:space="preserve">JP projekto finansuojama </w:t>
            </w:r>
            <w:proofErr w:type="spellStart"/>
            <w:r>
              <w:rPr>
                <w:szCs w:val="24"/>
              </w:rPr>
              <w:t>poveiklė</w:t>
            </w:r>
            <w:proofErr w:type="spellEnd"/>
            <w:r>
              <w:rPr>
                <w:szCs w:val="24"/>
              </w:rPr>
              <w:t xml:space="preserve"> ir rezultatas – įrengtos viešai prieinamos įkrovimo stotelės – tiesiogiai prisideda prie oro, vandens ar žemės taršos prevencijos ir kontrolės tikslo,</w:t>
            </w:r>
            <w:r>
              <w:rPr>
                <w:rFonts w:eastAsia="Calibri"/>
                <w:bCs/>
                <w:szCs w:val="24"/>
              </w:rPr>
              <w:t xml:space="preserve"> todėl pagrindimo dokumentai neteikiami.</w:t>
            </w:r>
          </w:p>
          <w:p w14:paraId="5C6AF2D7" w14:textId="77777777" w:rsidR="00531D10" w:rsidRDefault="00531D10" w:rsidP="00687537">
            <w:pPr>
              <w:jc w:val="both"/>
              <w:rPr>
                <w:szCs w:val="24"/>
              </w:rPr>
            </w:pPr>
          </w:p>
          <w:p w14:paraId="0DF30098" w14:textId="77777777" w:rsidR="00531D10" w:rsidRDefault="00531D10" w:rsidP="00687537">
            <w:pPr>
              <w:tabs>
                <w:tab w:val="left" w:pos="556"/>
              </w:tabs>
              <w:jc w:val="both"/>
              <w:rPr>
                <w:rFonts w:eastAsia="Calibri"/>
                <w:szCs w:val="24"/>
              </w:rPr>
            </w:pPr>
            <w:r>
              <w:rPr>
                <w:szCs w:val="24"/>
              </w:rPr>
              <w:lastRenderedPageBreak/>
              <w:t>Kartu su mokėjimo prašymu vykdytojas teiks Apraše ir (ar) kvietime teikti paraiškas nurodytus viešosios ir pusiau viešosios įkrovimo infrastruktūros įrengimą įrodančius dokumentus.</w:t>
            </w:r>
          </w:p>
        </w:tc>
      </w:tr>
      <w:tr w:rsidR="00531D10" w14:paraId="52B807F0" w14:textId="77777777" w:rsidTr="00687537">
        <w:tc>
          <w:tcPr>
            <w:tcW w:w="4875" w:type="dxa"/>
          </w:tcPr>
          <w:p w14:paraId="1639AD1B" w14:textId="77777777" w:rsidR="00531D10" w:rsidRDefault="00531D10" w:rsidP="00687537">
            <w:pPr>
              <w:tabs>
                <w:tab w:val="left" w:pos="289"/>
              </w:tabs>
              <w:ind w:left="5" w:firstLine="5"/>
              <w:jc w:val="both"/>
              <w:rPr>
                <w:rFonts w:eastAsia="Calibri"/>
                <w:szCs w:val="24"/>
              </w:rPr>
            </w:pPr>
            <w:r>
              <w:rPr>
                <w:rFonts w:eastAsia="Calibri"/>
                <w:szCs w:val="24"/>
              </w:rPr>
              <w:lastRenderedPageBreak/>
              <w:t>6.</w:t>
            </w:r>
            <w:r>
              <w:rPr>
                <w:rFonts w:eastAsia="Calibri"/>
                <w:szCs w:val="24"/>
              </w:rPr>
              <w:tab/>
              <w:t>Biologinės įvairovės ir ekosistemų apsauga ir atkūrimas</w:t>
            </w:r>
          </w:p>
        </w:tc>
        <w:tc>
          <w:tcPr>
            <w:tcW w:w="4649" w:type="dxa"/>
          </w:tcPr>
          <w:p w14:paraId="3DB2A3E6" w14:textId="77777777" w:rsidR="00531D10" w:rsidRDefault="00531D10" w:rsidP="00687537">
            <w:pPr>
              <w:jc w:val="both"/>
              <w:rPr>
                <w:bCs/>
                <w:szCs w:val="24"/>
              </w:rPr>
            </w:pPr>
            <w:r>
              <w:rPr>
                <w:bCs/>
                <w:szCs w:val="24"/>
              </w:rPr>
              <w:t xml:space="preserve">Vertinama, kad planuojama įgyvendinti </w:t>
            </w:r>
            <w:proofErr w:type="spellStart"/>
            <w:r>
              <w:rPr>
                <w:bCs/>
                <w:szCs w:val="24"/>
              </w:rPr>
              <w:t>poveiklė</w:t>
            </w:r>
            <w:proofErr w:type="spellEnd"/>
            <w:r>
              <w:rPr>
                <w:bCs/>
                <w:szCs w:val="24"/>
              </w:rPr>
              <w:t xml:space="preserve"> </w:t>
            </w:r>
            <w:r>
              <w:rPr>
                <w:szCs w:val="24"/>
              </w:rPr>
              <w:t xml:space="preserve">„Viešai prieinamos įkrovimo infrastruktūros sunkiajam elektriniam transportui įrengimas“ </w:t>
            </w:r>
            <w:r>
              <w:rPr>
                <w:bCs/>
                <w:szCs w:val="24"/>
              </w:rPr>
              <w:t>neturi jokio numatomo poveikio šiam aplinkos tikslui arba numatomas jos poveikis yra nereikšmingas, t. y. nedaro tiesioginio ir pirminio netiesioginio poveikio per visą gyvavimo ciklą, todėl laikoma, kad investicinės priemonės atitinka biologinės įvairovės ir ekosistemų apsaugos ir atkūrimo tikslą.</w:t>
            </w:r>
          </w:p>
          <w:p w14:paraId="09468626" w14:textId="77777777" w:rsidR="00531D10" w:rsidRDefault="00531D10" w:rsidP="00687537">
            <w:pPr>
              <w:jc w:val="both"/>
              <w:rPr>
                <w:rFonts w:eastAsia="Calibri"/>
                <w:iCs/>
                <w:szCs w:val="24"/>
              </w:rPr>
            </w:pPr>
            <w:r>
              <w:rPr>
                <w:iCs/>
                <w:szCs w:val="24"/>
              </w:rPr>
              <w:t>Iki paraiškos pateikimo turi būti parengta informacija apie JP projektui taikomus aplinkosauginius reikalavimus:</w:t>
            </w:r>
          </w:p>
          <w:p w14:paraId="7195203E" w14:textId="77777777" w:rsidR="00531D10" w:rsidRDefault="00531D10" w:rsidP="00687537">
            <w:pPr>
              <w:jc w:val="both"/>
              <w:rPr>
                <w:szCs w:val="24"/>
              </w:rPr>
            </w:pPr>
            <w:r>
              <w:t xml:space="preserve">1. Pagal Direktyvą 2011/92/ES bus PAV arba analizė (procedūra, pagal kurią kompetentinga institucija nustato, ar turi būti atliekamas Direktyvos 2011/92/ES II priede išvardytų projektų PAV (kaip </w:t>
            </w:r>
            <w:r>
              <w:lastRenderedPageBreak/>
              <w:t>nurodyta Direktyvos 2011/92/ES 4 straipsnio 2 dalyje). Jei bus atliktas PAV, aplinkos apsaugos tikslais bus įgyvendintos reikiamos poveikio švelninimo ir kompensuojamosios priemonės.</w:t>
            </w:r>
          </w:p>
          <w:p w14:paraId="0102CC75" w14:textId="77777777" w:rsidR="00531D10" w:rsidRDefault="00531D10" w:rsidP="00687537">
            <w:pPr>
              <w:jc w:val="both"/>
              <w:rPr>
                <w:rFonts w:eastAsia="Calibri"/>
              </w:rPr>
            </w:pPr>
            <w:r>
              <w:t>2. Siekiant užtikrinti, kad veiklos neturėtų reikšmingo poveikio saugomos teritorijos apsaugos tikslams, pažeidžiamos biologinės įvairovės vietovėse arba šalia jų (įskaitant „</w:t>
            </w:r>
            <w:proofErr w:type="spellStart"/>
            <w:r>
              <w:t>Natura</w:t>
            </w:r>
            <w:proofErr w:type="spellEnd"/>
            <w:r>
              <w:t xml:space="preserve"> 2000“ saugomų teritorijų tinklą, UNESCO pasaulio paveldo objektus ir pagrindines biologinės įvairovės teritorijas, taip pat kitas saugomas teritorijas) esančių vietovių ir (arba) vykdomų operacijų atveju atitinkamais atvejais bus atliktas atitinkamas vertinimas (pagal 1992 m. gegužės 21 d. Tarybos direktyvą 92/43/EEB dėl natūralių buveinių ir laukinės faunos bei floros apsaugos ir 2009 m. lapkričio 30 d. Europos Parlamento ir Tarybos direktyvą 2009/147/EB dėl laukinių paukščių apsaugos) ir, remiantis jo išvadomis, įgyvendintos būtinos poveikio švelninimo priemonės.</w:t>
            </w:r>
          </w:p>
        </w:tc>
        <w:tc>
          <w:tcPr>
            <w:tcW w:w="5325" w:type="dxa"/>
          </w:tcPr>
          <w:p w14:paraId="636A6790" w14:textId="77777777" w:rsidR="00531D10" w:rsidRDefault="00531D10" w:rsidP="00687537">
            <w:pPr>
              <w:tabs>
                <w:tab w:val="left" w:pos="443"/>
              </w:tabs>
              <w:ind w:left="34"/>
              <w:jc w:val="both"/>
              <w:rPr>
                <w:szCs w:val="24"/>
              </w:rPr>
            </w:pPr>
            <w:r>
              <w:rPr>
                <w:szCs w:val="24"/>
              </w:rPr>
              <w:lastRenderedPageBreak/>
              <w:t xml:space="preserve">Projekto finansuojama </w:t>
            </w:r>
            <w:proofErr w:type="spellStart"/>
            <w:r>
              <w:rPr>
                <w:szCs w:val="24"/>
              </w:rPr>
              <w:t>poveiklė</w:t>
            </w:r>
            <w:proofErr w:type="spellEnd"/>
            <w:r>
              <w:rPr>
                <w:szCs w:val="24"/>
              </w:rPr>
              <w:t xml:space="preserve"> ir rezultatas – įrengtos viešai prieinamos įkrovimo stotelės –</w:t>
            </w:r>
            <w:r>
              <w:rPr>
                <w:rFonts w:eastAsia="Calibri"/>
                <w:i/>
                <w:iCs/>
                <w:szCs w:val="24"/>
              </w:rPr>
              <w:t xml:space="preserve"> </w:t>
            </w:r>
            <w:r>
              <w:rPr>
                <w:rFonts w:eastAsia="Calibri"/>
                <w:szCs w:val="24"/>
              </w:rPr>
              <w:t>dėl savo pobūdžio neturi jokio neigiamo tiesioginio ir netiesioginio poveikio šiam aplinkos tikslui. P</w:t>
            </w:r>
            <w:r>
              <w:rPr>
                <w:szCs w:val="24"/>
              </w:rPr>
              <w:t xml:space="preserve">rojekto įgyvendinimo plane pateikiamas pagrindimas apie statomų įrenginių vietovę, kur numatyta statyti įrenginius su nuorodomis ar vietovės žemėlapio kopijomis, įrodančiomis, kad </w:t>
            </w:r>
            <w:r>
              <w:rPr>
                <w:rFonts w:eastAsia="Calibri"/>
                <w:szCs w:val="24"/>
              </w:rPr>
              <w:t>nenumatoma kurti ar modernizuoti infrastruktūros „</w:t>
            </w:r>
            <w:proofErr w:type="spellStart"/>
            <w:r>
              <w:rPr>
                <w:rFonts w:eastAsia="Calibri"/>
                <w:szCs w:val="24"/>
              </w:rPr>
              <w:t>Natura</w:t>
            </w:r>
            <w:proofErr w:type="spellEnd"/>
            <w:r>
              <w:rPr>
                <w:rFonts w:eastAsia="Calibri"/>
                <w:szCs w:val="24"/>
              </w:rPr>
              <w:t xml:space="preserve"> 2000“, UNESCO pasaulinio paveldo ar kitose saugomose teritorijose, </w:t>
            </w:r>
            <w:r>
              <w:rPr>
                <w:szCs w:val="24"/>
              </w:rPr>
              <w:t>kita aktuali informacija ir (ar) dokumentai.</w:t>
            </w:r>
          </w:p>
          <w:p w14:paraId="0413EEF6" w14:textId="77777777" w:rsidR="00531D10" w:rsidRDefault="00531D10" w:rsidP="00687537">
            <w:pPr>
              <w:ind w:left="30"/>
              <w:jc w:val="both"/>
              <w:rPr>
                <w:szCs w:val="24"/>
              </w:rPr>
            </w:pPr>
          </w:p>
          <w:p w14:paraId="0BC304AC" w14:textId="77777777" w:rsidR="00531D10" w:rsidRDefault="00531D10" w:rsidP="00687537">
            <w:pPr>
              <w:ind w:left="30"/>
              <w:jc w:val="both"/>
              <w:rPr>
                <w:szCs w:val="24"/>
              </w:rPr>
            </w:pPr>
            <w:r>
              <w:rPr>
                <w:szCs w:val="24"/>
              </w:rPr>
              <w:t xml:space="preserve">1. Vadovaujantis Planuojamos ūkinės veiklos poveikio aplinkai vertinimo įstatymu, iki paraiškos pateikimo pareiškėjas turi būti atlikęs PAV ir turi būti pateikti atsakingos institucijos </w:t>
            </w:r>
            <w:r>
              <w:rPr>
                <w:szCs w:val="24"/>
              </w:rPr>
              <w:lastRenderedPageBreak/>
              <w:t xml:space="preserve">galiojantys dokumentai </w:t>
            </w:r>
            <w:r>
              <w:rPr>
                <w:i/>
                <w:iCs/>
                <w:szCs w:val="24"/>
              </w:rPr>
              <w:t>(jeigu taikoma)</w:t>
            </w:r>
            <w:r>
              <w:rPr>
                <w:szCs w:val="24"/>
              </w:rPr>
              <w:t>.</w:t>
            </w:r>
          </w:p>
          <w:p w14:paraId="539701E4" w14:textId="77777777" w:rsidR="00531D10" w:rsidRDefault="00531D10" w:rsidP="00687537">
            <w:pPr>
              <w:ind w:left="30"/>
              <w:jc w:val="both"/>
              <w:rPr>
                <w:szCs w:val="24"/>
              </w:rPr>
            </w:pPr>
          </w:p>
          <w:p w14:paraId="633065A3" w14:textId="77777777" w:rsidR="00531D10" w:rsidRDefault="00531D10" w:rsidP="00687537">
            <w:pPr>
              <w:ind w:left="30"/>
              <w:jc w:val="both"/>
              <w:rPr>
                <w:rFonts w:eastAsia="Calibri"/>
                <w:szCs w:val="24"/>
              </w:rPr>
            </w:pPr>
            <w:r>
              <w:rPr>
                <w:szCs w:val="24"/>
              </w:rPr>
              <w:t>2. Vadovaujantis Planų ar programų ir planuojamos ūkinės veiklos įgyvendinimo poveikio įsteigtoms ar potencialioms „</w:t>
            </w:r>
            <w:proofErr w:type="spellStart"/>
            <w:r>
              <w:rPr>
                <w:szCs w:val="24"/>
              </w:rPr>
              <w:t>Natura</w:t>
            </w:r>
            <w:proofErr w:type="spellEnd"/>
            <w:r>
              <w:rPr>
                <w:szCs w:val="24"/>
              </w:rPr>
              <w:t xml:space="preserve"> 2000“ teritorijoms reikšmingumo nustatymo tvarkos aprašo, patvirtinto Lietuvos Respublikos aplinkos ministro 2006 m. gegužės 22 d. įsakymu Nr. D1-255 „Dėl Planų ar programų ir planuojamos ūkinės veiklos įgyvendinimo poveikio įsteigtoms ar potencialioms „</w:t>
            </w:r>
            <w:proofErr w:type="spellStart"/>
            <w:r>
              <w:rPr>
                <w:szCs w:val="24"/>
              </w:rPr>
              <w:t>Natura</w:t>
            </w:r>
            <w:proofErr w:type="spellEnd"/>
            <w:r>
              <w:rPr>
                <w:szCs w:val="24"/>
              </w:rPr>
              <w:t xml:space="preserve"> 2000“ teritorijoms reikšmingumo nustatymo tvarkos aprašo patvirtinimo“, nuostatomis, atliktas „</w:t>
            </w:r>
            <w:proofErr w:type="spellStart"/>
            <w:r>
              <w:rPr>
                <w:szCs w:val="24"/>
              </w:rPr>
              <w:t>Natura</w:t>
            </w:r>
            <w:proofErr w:type="spellEnd"/>
            <w:r>
              <w:rPr>
                <w:szCs w:val="24"/>
              </w:rPr>
              <w:t xml:space="preserve"> 2000“ teritorijų reikšmingumo nustatymas </w:t>
            </w:r>
            <w:r>
              <w:rPr>
                <w:i/>
                <w:iCs/>
                <w:szCs w:val="24"/>
              </w:rPr>
              <w:t>(jeigu taikoma)</w:t>
            </w:r>
            <w:r>
              <w:rPr>
                <w:szCs w:val="24"/>
              </w:rPr>
              <w:t>.</w:t>
            </w:r>
          </w:p>
        </w:tc>
      </w:tr>
    </w:tbl>
    <w:p w14:paraId="235E46F6" w14:textId="77777777" w:rsidR="00D870BE" w:rsidRDefault="00D870BE"/>
    <w:sectPr w:rsidR="00D870B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10"/>
    <w:rsid w:val="00531D10"/>
    <w:rsid w:val="006C63E4"/>
    <w:rsid w:val="00820D05"/>
    <w:rsid w:val="00D870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7F5B"/>
  <w15:chartTrackingRefBased/>
  <w15:docId w15:val="{42C004E9-0B2E-40F4-8735-FAA72703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D10"/>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531D1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31D1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31D1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31D1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31D1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31D1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31D1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31D1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31D1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D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1D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1D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1D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1D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1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D10"/>
    <w:rPr>
      <w:rFonts w:eastAsiaTheme="majorEastAsia" w:cstheme="majorBidi"/>
      <w:color w:val="272727" w:themeColor="text1" w:themeTint="D8"/>
    </w:rPr>
  </w:style>
  <w:style w:type="paragraph" w:styleId="Title">
    <w:name w:val="Title"/>
    <w:basedOn w:val="Normal"/>
    <w:next w:val="Normal"/>
    <w:link w:val="TitleChar"/>
    <w:uiPriority w:val="10"/>
    <w:qFormat/>
    <w:rsid w:val="00531D1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31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D1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31D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D1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31D10"/>
    <w:rPr>
      <w:i/>
      <w:iCs/>
      <w:color w:val="404040" w:themeColor="text1" w:themeTint="BF"/>
    </w:rPr>
  </w:style>
  <w:style w:type="paragraph" w:styleId="ListParagraph">
    <w:name w:val="List Paragraph"/>
    <w:basedOn w:val="Normal"/>
    <w:uiPriority w:val="34"/>
    <w:qFormat/>
    <w:rsid w:val="00531D1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31D10"/>
    <w:rPr>
      <w:i/>
      <w:iCs/>
      <w:color w:val="2F5496" w:themeColor="accent1" w:themeShade="BF"/>
    </w:rPr>
  </w:style>
  <w:style w:type="paragraph" w:styleId="IntenseQuote">
    <w:name w:val="Intense Quote"/>
    <w:basedOn w:val="Normal"/>
    <w:next w:val="Normal"/>
    <w:link w:val="IntenseQuoteChar"/>
    <w:uiPriority w:val="30"/>
    <w:qFormat/>
    <w:rsid w:val="00531D1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31D10"/>
    <w:rPr>
      <w:i/>
      <w:iCs/>
      <w:color w:val="2F5496" w:themeColor="accent1" w:themeShade="BF"/>
    </w:rPr>
  </w:style>
  <w:style w:type="character" w:styleId="IntenseReference">
    <w:name w:val="Intense Reference"/>
    <w:basedOn w:val="DefaultParagraphFont"/>
    <w:uiPriority w:val="32"/>
    <w:qFormat/>
    <w:rsid w:val="00531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9706</Words>
  <Characters>5533</Characters>
  <Application>Microsoft Office Word</Application>
  <DocSecurity>0</DocSecurity>
  <Lines>46</Lines>
  <Paragraphs>30</Paragraphs>
  <ScaleCrop>false</ScaleCrop>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Justė Korotkich</dc:creator>
  <cp:keywords/>
  <dc:description/>
  <cp:lastModifiedBy>Justė Korotkich</cp:lastModifiedBy>
  <cp:revision>1</cp:revision>
  <dcterms:created xsi:type="dcterms:W3CDTF">2024-10-08T10:59:00Z</dcterms:created>
  <dcterms:modified xsi:type="dcterms:W3CDTF">2024-10-08T11:03:00Z</dcterms:modified>
</cp:coreProperties>
</file>