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541B" w14:textId="77777777" w:rsidR="00DA38F6" w:rsidRPr="00DA38F6" w:rsidRDefault="00DA38F6" w:rsidP="00DA38F6">
      <w:pPr>
        <w:spacing w:line="276" w:lineRule="auto"/>
        <w:ind w:left="9072"/>
        <w:rPr>
          <w:szCs w:val="24"/>
        </w:rPr>
      </w:pPr>
      <w:r w:rsidRPr="00DA38F6">
        <w:rPr>
          <w:szCs w:val="24"/>
        </w:rPr>
        <w:t>2021–2030 m. energetikos plėtros programos pažangos priemonės Nr. 03-001-06-03-05 „Įgyvendinti AEI panaudojimą šilumos ir vėsumos gamybai didinančias priemones centralizuoto šilumos ir vėsumos tiekimo sektoriuje“ veiklos „Iškastinio kuro ir nusidėvėjusių biokurą naudojančių katilų keitimas naujais biokurą ar kitais atsinaujinančius energijos išteklius naudojančiais šilumos gamybos įrenginiais“ projektų finansavimo sąlygų aprašo</w:t>
      </w:r>
    </w:p>
    <w:p w14:paraId="2E774981" w14:textId="77777777" w:rsidR="00DA38F6" w:rsidRPr="00DA38F6" w:rsidRDefault="00DA38F6" w:rsidP="00DA38F6">
      <w:pPr>
        <w:spacing w:line="276" w:lineRule="auto"/>
        <w:ind w:left="9072"/>
        <w:rPr>
          <w:szCs w:val="24"/>
        </w:rPr>
      </w:pPr>
      <w:r w:rsidRPr="00DA38F6">
        <w:rPr>
          <w:szCs w:val="24"/>
        </w:rPr>
        <w:t>1 priedas</w:t>
      </w:r>
    </w:p>
    <w:p w14:paraId="5C3EFA96" w14:textId="77777777" w:rsidR="00DA38F6" w:rsidRDefault="00DA38F6" w:rsidP="00DA38F6">
      <w:pPr>
        <w:spacing w:line="276" w:lineRule="auto"/>
        <w:ind w:left="4962"/>
        <w:rPr>
          <w:szCs w:val="24"/>
        </w:rPr>
      </w:pPr>
    </w:p>
    <w:p w14:paraId="77203577" w14:textId="77777777" w:rsidR="00DA38F6" w:rsidRDefault="00DA38F6" w:rsidP="00DA38F6">
      <w:pPr>
        <w:spacing w:line="276" w:lineRule="auto"/>
        <w:ind w:left="567"/>
        <w:jc w:val="center"/>
        <w:rPr>
          <w:b/>
          <w:bCs/>
          <w:kern w:val="2"/>
          <w:szCs w:val="24"/>
        </w:rPr>
      </w:pPr>
      <w:r>
        <w:rPr>
          <w:b/>
          <w:bCs/>
          <w:kern w:val="2"/>
          <w:szCs w:val="24"/>
        </w:rPr>
        <w:t>PROJEKTO ATITIKIMO REIKŠMINGOS ŽALOS NEDARYMO PRINCIPUI VERTINIMO DEKLARACIJA</w:t>
      </w:r>
    </w:p>
    <w:p w14:paraId="29B0026E" w14:textId="77777777" w:rsidR="00DA38F6" w:rsidRDefault="00DA38F6" w:rsidP="00DA38F6">
      <w:pPr>
        <w:spacing w:line="276" w:lineRule="auto"/>
        <w:ind w:left="567"/>
        <w:jc w:val="center"/>
        <w:rPr>
          <w:rFonts w:ascii="Arial" w:hAnsi="Arial" w:cs="Arial"/>
          <w:kern w:val="2"/>
          <w:sz w:val="20"/>
        </w:rPr>
      </w:pPr>
    </w:p>
    <w:p w14:paraId="6059F486" w14:textId="77777777" w:rsidR="00DA38F6" w:rsidRDefault="00DA38F6" w:rsidP="00DA38F6">
      <w:pPr>
        <w:spacing w:line="276" w:lineRule="auto"/>
        <w:ind w:left="567"/>
        <w:jc w:val="center"/>
        <w:rPr>
          <w:kern w:val="2"/>
          <w:sz w:val="20"/>
        </w:rPr>
      </w:pPr>
      <w:r>
        <w:rPr>
          <w:kern w:val="2"/>
          <w:sz w:val="20"/>
        </w:rPr>
        <w:t>_____________</w:t>
      </w:r>
    </w:p>
    <w:p w14:paraId="7606AC37" w14:textId="77777777" w:rsidR="00DA38F6" w:rsidRDefault="00DA38F6" w:rsidP="00DA38F6">
      <w:pPr>
        <w:spacing w:line="276" w:lineRule="auto"/>
        <w:ind w:left="567"/>
        <w:jc w:val="center"/>
        <w:rPr>
          <w:kern w:val="2"/>
          <w:sz w:val="20"/>
        </w:rPr>
      </w:pPr>
      <w:r>
        <w:rPr>
          <w:kern w:val="2"/>
          <w:sz w:val="20"/>
        </w:rPr>
        <w:t>Pildymo data</w:t>
      </w:r>
    </w:p>
    <w:p w14:paraId="7909BDA0" w14:textId="77777777" w:rsidR="00DA38F6" w:rsidRDefault="00DA38F6" w:rsidP="00DA38F6">
      <w:pPr>
        <w:spacing w:line="276" w:lineRule="auto"/>
        <w:ind w:left="567"/>
        <w:jc w:val="center"/>
        <w:rPr>
          <w:kern w:val="2"/>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2693"/>
        <w:gridCol w:w="3539"/>
      </w:tblGrid>
      <w:tr w:rsidR="00DA38F6" w14:paraId="744367CB" w14:textId="77777777" w:rsidTr="00B71602">
        <w:tc>
          <w:tcPr>
            <w:tcW w:w="14312" w:type="dxa"/>
            <w:gridSpan w:val="4"/>
          </w:tcPr>
          <w:p w14:paraId="05BCA8E0" w14:textId="77777777" w:rsidR="00DA38F6" w:rsidRDefault="00DA38F6" w:rsidP="00B71602">
            <w:pPr>
              <w:tabs>
                <w:tab w:val="left" w:pos="284"/>
              </w:tabs>
              <w:spacing w:line="276" w:lineRule="auto"/>
              <w:jc w:val="both"/>
              <w:rPr>
                <w:szCs w:val="24"/>
              </w:rPr>
            </w:pPr>
            <w:r>
              <w:rPr>
                <w:kern w:val="2"/>
                <w:szCs w:val="24"/>
                <w14:ligatures w14:val="standardContextual"/>
              </w:rPr>
              <w:t>1.</w:t>
            </w:r>
            <w:r>
              <w:rPr>
                <w:kern w:val="2"/>
                <w:szCs w:val="24"/>
                <w14:ligatures w14:val="standardContextual"/>
              </w:rPr>
              <w:tab/>
            </w:r>
            <w:r>
              <w:rPr>
                <w:szCs w:val="24"/>
              </w:rPr>
              <w:t>Planuojamas įgyvendinti projektas atitinka Reikšmingos žalos nedarymo principą (toliau – RŽNP), t. y. neturi reikšmingo neigiamo numatomo tiesioginio ir netiesioginio poveikio visiems 6 aplinkos tikslams, nurodytiems Taksonomijos reglamento 17 straipsnyje. Žala aplinkos tikslams suprantama taip:</w:t>
            </w:r>
          </w:p>
          <w:p w14:paraId="31A755B2" w14:textId="77777777" w:rsidR="00DA38F6" w:rsidRDefault="00DA38F6" w:rsidP="00B71602">
            <w:pPr>
              <w:tabs>
                <w:tab w:val="left" w:pos="709"/>
                <w:tab w:val="left" w:pos="851"/>
              </w:tabs>
              <w:spacing w:line="276" w:lineRule="auto"/>
              <w:ind w:firstLine="426"/>
              <w:jc w:val="both"/>
              <w:rPr>
                <w:szCs w:val="24"/>
              </w:rPr>
            </w:pPr>
            <w:r>
              <w:rPr>
                <w:kern w:val="2"/>
                <w:szCs w:val="24"/>
                <w14:ligatures w14:val="standardContextual"/>
              </w:rPr>
              <w:t>1.1.</w:t>
            </w:r>
            <w:r>
              <w:rPr>
                <w:kern w:val="2"/>
                <w:szCs w:val="24"/>
                <w14:ligatures w14:val="standardContextual"/>
              </w:rPr>
              <w:tab/>
            </w:r>
            <w:r>
              <w:rPr>
                <w:szCs w:val="24"/>
              </w:rPr>
              <w:t>Vykdoma veikla laikytina darančia reikšmingą žalą klimato kaitos švelninimui, jei dėl jos išmetamas didelis šiltnamio efektą sukeliančių dujų (ŠESD) kiekis.</w:t>
            </w:r>
          </w:p>
          <w:p w14:paraId="7B8F499A" w14:textId="77777777" w:rsidR="00DA38F6" w:rsidRDefault="00DA38F6" w:rsidP="00B71602">
            <w:pPr>
              <w:tabs>
                <w:tab w:val="left" w:pos="709"/>
                <w:tab w:val="left" w:pos="851"/>
              </w:tabs>
              <w:spacing w:line="276" w:lineRule="auto"/>
              <w:ind w:firstLine="426"/>
              <w:jc w:val="both"/>
              <w:rPr>
                <w:szCs w:val="24"/>
              </w:rPr>
            </w:pPr>
            <w:r>
              <w:rPr>
                <w:kern w:val="2"/>
                <w:szCs w:val="24"/>
                <w14:ligatures w14:val="standardContextual"/>
              </w:rPr>
              <w:t>1.2.</w:t>
            </w:r>
            <w:r>
              <w:rPr>
                <w:kern w:val="2"/>
                <w:szCs w:val="24"/>
                <w14:ligatures w14:val="standardContextual"/>
              </w:rPr>
              <w:tab/>
            </w:r>
            <w:r>
              <w:rPr>
                <w:szCs w:val="24"/>
              </w:rPr>
              <w:t>Vykdoma veikla laikytina darančia reikšmingą žalą prisitaikymui prie klimato kaitos, kai dėl tos veiklos didėja dabartinio ir ateityje tikėtino klimato neigiamas poveikis tai pačiai veiklai arba žmonėms, gamtai ar turtui.</w:t>
            </w:r>
          </w:p>
          <w:p w14:paraId="4307A523" w14:textId="77777777" w:rsidR="00DA38F6" w:rsidRDefault="00DA38F6" w:rsidP="00B71602">
            <w:pPr>
              <w:tabs>
                <w:tab w:val="left" w:pos="709"/>
                <w:tab w:val="left" w:pos="851"/>
              </w:tabs>
              <w:spacing w:line="276" w:lineRule="auto"/>
              <w:ind w:firstLine="426"/>
              <w:jc w:val="both"/>
              <w:rPr>
                <w:szCs w:val="24"/>
              </w:rPr>
            </w:pPr>
            <w:r>
              <w:rPr>
                <w:kern w:val="2"/>
                <w:szCs w:val="24"/>
                <w14:ligatures w14:val="standardContextual"/>
              </w:rPr>
              <w:t>1.3.</w:t>
            </w:r>
            <w:r>
              <w:rPr>
                <w:kern w:val="2"/>
                <w:szCs w:val="24"/>
                <w14:ligatures w14:val="standardContextual"/>
              </w:rPr>
              <w:tab/>
            </w:r>
            <w:r>
              <w:rPr>
                <w:szCs w:val="24"/>
              </w:rPr>
              <w:t>Vykdoma veikla laikytina darančia reikšmingą žalą tausiam vandens ir jūrų išteklių naudojimui ir apsaugai, kai ta veikla daroma žala vandens telkinių, įskaitant paviršinį vandenį ir požeminį vandenį, gerai būklei arba geram ekologiniam potencialui arba gerai jūrų vandenų aplinkos būklei.</w:t>
            </w:r>
          </w:p>
          <w:p w14:paraId="175703DD" w14:textId="77777777" w:rsidR="00DA38F6" w:rsidRDefault="00DA38F6" w:rsidP="00B71602">
            <w:pPr>
              <w:tabs>
                <w:tab w:val="left" w:pos="709"/>
                <w:tab w:val="left" w:pos="851"/>
              </w:tabs>
              <w:spacing w:line="276" w:lineRule="auto"/>
              <w:ind w:firstLine="426"/>
              <w:jc w:val="both"/>
              <w:rPr>
                <w:szCs w:val="24"/>
              </w:rPr>
            </w:pPr>
            <w:r>
              <w:rPr>
                <w:kern w:val="2"/>
                <w:szCs w:val="24"/>
                <w14:ligatures w14:val="standardContextual"/>
              </w:rPr>
              <w:t>1.4.</w:t>
            </w:r>
            <w:r>
              <w:rPr>
                <w:kern w:val="2"/>
                <w:szCs w:val="24"/>
                <w14:ligatures w14:val="standardContextual"/>
              </w:rPr>
              <w:tab/>
            </w:r>
            <w:r>
              <w:rPr>
                <w:szCs w:val="24"/>
              </w:rPr>
              <w:t>Vykdoma veikla laikytina darančia reikšmingą žalą žiedinei ekonomikai, įskaitant atliekų prevenciją ir perdirbimą, kai dėl tos veiklos labai neefektyviai naudojamos medžiagos arba tiesiogiai ar netiesiogiai labai neefektyviai naudojami gamtos ištekliai, kai dėl tos veiklos labai padidėja atliekų susidarymo, deginimo ar šalinimo mastas arba kai ilgalaikis atliekų šalinimas gali sukelti didelę ilgalaikę žalą aplinkai.</w:t>
            </w:r>
          </w:p>
          <w:p w14:paraId="003BE817" w14:textId="77777777" w:rsidR="00DA38F6" w:rsidRDefault="00DA38F6" w:rsidP="00B71602">
            <w:pPr>
              <w:tabs>
                <w:tab w:val="left" w:pos="709"/>
                <w:tab w:val="left" w:pos="851"/>
              </w:tabs>
              <w:spacing w:line="276" w:lineRule="auto"/>
              <w:ind w:firstLine="426"/>
              <w:jc w:val="both"/>
              <w:rPr>
                <w:szCs w:val="24"/>
              </w:rPr>
            </w:pPr>
            <w:r>
              <w:rPr>
                <w:kern w:val="2"/>
                <w:szCs w:val="24"/>
                <w14:ligatures w14:val="standardContextual"/>
              </w:rPr>
              <w:t>1.5.</w:t>
            </w:r>
            <w:r>
              <w:rPr>
                <w:kern w:val="2"/>
                <w:szCs w:val="24"/>
                <w14:ligatures w14:val="standardContextual"/>
              </w:rPr>
              <w:tab/>
            </w:r>
            <w:r>
              <w:rPr>
                <w:szCs w:val="24"/>
              </w:rPr>
              <w:t xml:space="preserve">Vykdoma veikla laikytina darančia reikšmingą žalą taršos prevencijai ir kontrolei, kai dėl tos veiklos labai padidėja į orą, vandenį arba žemę išmetamas teršalų kiekis. </w:t>
            </w:r>
          </w:p>
          <w:p w14:paraId="154373AE" w14:textId="77777777" w:rsidR="00DA38F6" w:rsidRDefault="00DA38F6" w:rsidP="00B71602">
            <w:pPr>
              <w:tabs>
                <w:tab w:val="left" w:pos="709"/>
                <w:tab w:val="left" w:pos="851"/>
              </w:tabs>
              <w:spacing w:line="276" w:lineRule="auto"/>
              <w:ind w:firstLine="426"/>
              <w:jc w:val="both"/>
              <w:rPr>
                <w:szCs w:val="24"/>
              </w:rPr>
            </w:pPr>
            <w:r>
              <w:rPr>
                <w:kern w:val="2"/>
                <w:szCs w:val="24"/>
                <w14:ligatures w14:val="standardContextual"/>
              </w:rPr>
              <w:t>1.6.</w:t>
            </w:r>
            <w:r>
              <w:rPr>
                <w:kern w:val="2"/>
                <w:szCs w:val="24"/>
                <w14:ligatures w14:val="standardContextual"/>
              </w:rPr>
              <w:tab/>
            </w:r>
            <w:r>
              <w:rPr>
                <w:szCs w:val="24"/>
              </w:rPr>
              <w:t>Vykdoma veikla laikytina darančia reikšmingą žalą biologinės įvairovės ir ekosistemų apsaugai ir atkūrimui, kai ta veikla yra labai žalinga ekosistemų gerai būklei ir jų atsparumui arba žalinga buveinių ir rūšių, įskaitant Europos Sąjungos svarbos buveines ir rūšis, išsaugojimo būklei.</w:t>
            </w:r>
          </w:p>
          <w:p w14:paraId="57B98BF7" w14:textId="77777777" w:rsidR="00DA38F6" w:rsidRDefault="00DA38F6" w:rsidP="00B71602">
            <w:pPr>
              <w:tabs>
                <w:tab w:val="left" w:pos="284"/>
              </w:tabs>
              <w:spacing w:line="276" w:lineRule="auto"/>
              <w:jc w:val="both"/>
              <w:rPr>
                <w:szCs w:val="24"/>
              </w:rPr>
            </w:pPr>
            <w:r>
              <w:rPr>
                <w:kern w:val="2"/>
                <w:szCs w:val="24"/>
                <w14:ligatures w14:val="standardContextual"/>
              </w:rPr>
              <w:t>2.</w:t>
            </w:r>
            <w:r>
              <w:rPr>
                <w:kern w:val="2"/>
                <w:szCs w:val="24"/>
                <w14:ligatures w14:val="standardContextual"/>
              </w:rPr>
              <w:tab/>
            </w:r>
            <w:r>
              <w:rPr>
                <w:szCs w:val="24"/>
              </w:rPr>
              <w:t>Įgyvendinant projektą, bus laikomasi vykdomai veiklai taikomų Europos Sąjungos ir nacionalinių teisės aktų reikalavimų.</w:t>
            </w:r>
          </w:p>
          <w:p w14:paraId="043B5BF5" w14:textId="77777777" w:rsidR="00DA38F6" w:rsidRDefault="00DA38F6" w:rsidP="00B71602">
            <w:pPr>
              <w:tabs>
                <w:tab w:val="left" w:pos="284"/>
              </w:tabs>
              <w:spacing w:line="276" w:lineRule="auto"/>
              <w:jc w:val="both"/>
              <w:rPr>
                <w:sz w:val="20"/>
              </w:rPr>
            </w:pPr>
            <w:r>
              <w:rPr>
                <w:kern w:val="2"/>
                <w:szCs w:val="24"/>
                <w14:ligatures w14:val="standardContextual"/>
              </w:rPr>
              <w:lastRenderedPageBreak/>
              <w:t>3.</w:t>
            </w:r>
            <w:r>
              <w:rPr>
                <w:kern w:val="2"/>
                <w:szCs w:val="24"/>
                <w14:ligatures w14:val="standardContextual"/>
              </w:rPr>
              <w:tab/>
            </w:r>
            <w:r>
              <w:rPr>
                <w:szCs w:val="24"/>
              </w:rPr>
              <w:t>Įgyvendinant projektą bus siekiama išvengti reikšmingo neigiamo poveikio visiems 6 aplinkos tikslams. Atsiradus papildomoms neigiamo poveikio bet kuriam aplinkos tikslui rizikoms, bus numatomos ir įgyvendintos šias rizikas mažinančios (švelninančios, kompensuojančios) priemonės:</w:t>
            </w:r>
          </w:p>
        </w:tc>
      </w:tr>
      <w:tr w:rsidR="00DA38F6" w14:paraId="21F6B25D" w14:textId="77777777" w:rsidTr="00B71602">
        <w:tc>
          <w:tcPr>
            <w:tcW w:w="2552" w:type="dxa"/>
          </w:tcPr>
          <w:p w14:paraId="58F1D3E0" w14:textId="77777777" w:rsidR="00DA38F6" w:rsidRDefault="00DA38F6" w:rsidP="00B71602">
            <w:pPr>
              <w:spacing w:line="276" w:lineRule="auto"/>
              <w:jc w:val="center"/>
              <w:rPr>
                <w:kern w:val="2"/>
                <w:szCs w:val="24"/>
              </w:rPr>
            </w:pPr>
            <w:r>
              <w:rPr>
                <w:kern w:val="2"/>
                <w:szCs w:val="24"/>
              </w:rPr>
              <w:lastRenderedPageBreak/>
              <w:t>Aplinkos tikslai:</w:t>
            </w:r>
          </w:p>
        </w:tc>
        <w:tc>
          <w:tcPr>
            <w:tcW w:w="5528" w:type="dxa"/>
          </w:tcPr>
          <w:p w14:paraId="505A1F67" w14:textId="77777777" w:rsidR="00DA38F6" w:rsidRDefault="00DA38F6" w:rsidP="00B71602">
            <w:pPr>
              <w:spacing w:line="276" w:lineRule="auto"/>
              <w:jc w:val="center"/>
              <w:rPr>
                <w:kern w:val="2"/>
                <w:szCs w:val="24"/>
              </w:rPr>
            </w:pPr>
            <w:r>
              <w:rPr>
                <w:kern w:val="2"/>
                <w:szCs w:val="24"/>
              </w:rPr>
              <w:t>Projektas neturės neigiamo tiesioginio ir netiesioginio poveikio šiam tikslui, nes:</w:t>
            </w:r>
          </w:p>
        </w:tc>
        <w:tc>
          <w:tcPr>
            <w:tcW w:w="2693" w:type="dxa"/>
          </w:tcPr>
          <w:p w14:paraId="2C7382E4" w14:textId="77777777" w:rsidR="00DA38F6" w:rsidRDefault="00DA38F6" w:rsidP="00B71602">
            <w:pPr>
              <w:spacing w:line="276" w:lineRule="auto"/>
              <w:jc w:val="center"/>
              <w:rPr>
                <w:kern w:val="2"/>
                <w:szCs w:val="24"/>
              </w:rPr>
            </w:pPr>
            <w:r>
              <w:rPr>
                <w:kern w:val="2"/>
                <w:szCs w:val="24"/>
              </w:rPr>
              <w:t>Patvirtinkite: TAIP - neturės reikšmingo neigiamo poveikio/ NE- turės neigiamą poveikį*</w:t>
            </w:r>
          </w:p>
        </w:tc>
        <w:tc>
          <w:tcPr>
            <w:tcW w:w="3539" w:type="dxa"/>
          </w:tcPr>
          <w:p w14:paraId="667141D0" w14:textId="77777777" w:rsidR="00DA38F6" w:rsidRDefault="00DA38F6" w:rsidP="00B71602">
            <w:pPr>
              <w:spacing w:line="276" w:lineRule="auto"/>
              <w:jc w:val="center"/>
              <w:rPr>
                <w:kern w:val="2"/>
                <w:szCs w:val="24"/>
              </w:rPr>
            </w:pPr>
            <w:r>
              <w:rPr>
                <w:kern w:val="2"/>
                <w:szCs w:val="24"/>
              </w:rPr>
              <w:t xml:space="preserve">Pateikite reikšmingos neigiamo poveikio nebuvimo arba poveikio mažinimo priemonių pagrindimą (analizė, tyrimas, kita)  </w:t>
            </w:r>
          </w:p>
        </w:tc>
      </w:tr>
      <w:tr w:rsidR="00DA38F6" w14:paraId="3CA37534" w14:textId="77777777" w:rsidTr="00B71602">
        <w:tc>
          <w:tcPr>
            <w:tcW w:w="2552" w:type="dxa"/>
          </w:tcPr>
          <w:p w14:paraId="10255F8C" w14:textId="77777777" w:rsidR="00DA38F6" w:rsidRDefault="00DA38F6" w:rsidP="00B71602">
            <w:pPr>
              <w:spacing w:line="276" w:lineRule="auto"/>
              <w:jc w:val="both"/>
              <w:rPr>
                <w:kern w:val="2"/>
                <w:szCs w:val="24"/>
              </w:rPr>
            </w:pPr>
            <w:r>
              <w:rPr>
                <w:kern w:val="2"/>
                <w:szCs w:val="24"/>
              </w:rPr>
              <w:t>1. Klimato kaitos švelninimas</w:t>
            </w:r>
          </w:p>
        </w:tc>
        <w:tc>
          <w:tcPr>
            <w:tcW w:w="5528" w:type="dxa"/>
          </w:tcPr>
          <w:p w14:paraId="04CF3576" w14:textId="77777777" w:rsidR="00DA38F6" w:rsidRDefault="00DA38F6" w:rsidP="00B71602">
            <w:pPr>
              <w:jc w:val="both"/>
              <w:rPr>
                <w:szCs w:val="24"/>
              </w:rPr>
            </w:pPr>
            <w:r>
              <w:rPr>
                <w:szCs w:val="24"/>
              </w:rPr>
              <w:t>Vertinama, kad veikla svariai prisideda prie klimato švelninimo tikslo,</w:t>
            </w:r>
            <w:r>
              <w:rPr>
                <w:b/>
                <w:bCs/>
                <w:szCs w:val="24"/>
              </w:rPr>
              <w:t xml:space="preserve"> </w:t>
            </w:r>
            <w:r>
              <w:rPr>
                <w:szCs w:val="24"/>
              </w:rPr>
              <w:t xml:space="preserve">kadangi investicija prisideda mažinant ŠESD emisijas, didinant atsinaujinančių išteklių naudojimą. </w:t>
            </w:r>
          </w:p>
        </w:tc>
        <w:tc>
          <w:tcPr>
            <w:tcW w:w="2693" w:type="dxa"/>
          </w:tcPr>
          <w:p w14:paraId="1C429ACE" w14:textId="77777777" w:rsidR="00DA38F6" w:rsidRDefault="00DA38F6" w:rsidP="00B71602">
            <w:pPr>
              <w:spacing w:line="276" w:lineRule="auto"/>
              <w:ind w:firstLine="930"/>
              <w:rPr>
                <w:szCs w:val="24"/>
              </w:rPr>
            </w:pPr>
            <w:r>
              <w:rPr>
                <w:szCs w:val="24"/>
              </w:rPr>
              <w:t>□ Taip</w:t>
            </w:r>
          </w:p>
          <w:p w14:paraId="42398762" w14:textId="77777777" w:rsidR="00DA38F6" w:rsidRDefault="00DA38F6" w:rsidP="00B71602">
            <w:pPr>
              <w:spacing w:line="276" w:lineRule="auto"/>
              <w:ind w:firstLine="930"/>
              <w:rPr>
                <w:kern w:val="2"/>
                <w:szCs w:val="24"/>
              </w:rPr>
            </w:pPr>
            <w:r>
              <w:rPr>
                <w:szCs w:val="24"/>
              </w:rPr>
              <w:t>□ Ne</w:t>
            </w:r>
          </w:p>
        </w:tc>
        <w:tc>
          <w:tcPr>
            <w:tcW w:w="3539" w:type="dxa"/>
          </w:tcPr>
          <w:p w14:paraId="340B9D6F" w14:textId="77777777" w:rsidR="00DA38F6" w:rsidRDefault="00DA38F6" w:rsidP="00B71602">
            <w:pPr>
              <w:spacing w:line="276" w:lineRule="auto"/>
              <w:jc w:val="both"/>
              <w:rPr>
                <w:kern w:val="2"/>
                <w:szCs w:val="24"/>
              </w:rPr>
            </w:pPr>
            <w:r>
              <w:rPr>
                <w:kern w:val="2"/>
                <w:szCs w:val="24"/>
              </w:rPr>
              <w:t>Techninis projektas ir (arba) projekto aprašymas ir (arba) galimybių studija</w:t>
            </w:r>
          </w:p>
        </w:tc>
      </w:tr>
      <w:tr w:rsidR="00DA38F6" w14:paraId="328B4873" w14:textId="77777777" w:rsidTr="00B71602">
        <w:tc>
          <w:tcPr>
            <w:tcW w:w="2552" w:type="dxa"/>
          </w:tcPr>
          <w:p w14:paraId="65D42979" w14:textId="77777777" w:rsidR="00DA38F6" w:rsidRDefault="00DA38F6" w:rsidP="00B71602">
            <w:pPr>
              <w:spacing w:line="276" w:lineRule="auto"/>
              <w:jc w:val="both"/>
              <w:rPr>
                <w:kern w:val="2"/>
                <w:szCs w:val="24"/>
              </w:rPr>
            </w:pPr>
            <w:r>
              <w:rPr>
                <w:kern w:val="2"/>
                <w:szCs w:val="24"/>
              </w:rPr>
              <w:t>2. Prisitaikymas prie klimato kaitos</w:t>
            </w:r>
          </w:p>
        </w:tc>
        <w:tc>
          <w:tcPr>
            <w:tcW w:w="5528" w:type="dxa"/>
          </w:tcPr>
          <w:p w14:paraId="17480224" w14:textId="77777777" w:rsidR="00DA38F6" w:rsidRDefault="00DA38F6" w:rsidP="00B71602">
            <w:pPr>
              <w:jc w:val="both"/>
              <w:rPr>
                <w:kern w:val="2"/>
                <w:szCs w:val="24"/>
                <w14:ligatures w14:val="standardContextual"/>
              </w:rPr>
            </w:pPr>
            <w:r>
              <w:rPr>
                <w:kern w:val="2"/>
                <w:szCs w:val="24"/>
                <w14:ligatures w14:val="standardContextual"/>
              </w:rPr>
              <w:t xml:space="preserve">Planuojamos veiklos investicijos neturės tiesioginio ar netiesioginio neigiamo poveikio  prisitaikymo prie klimato kaitos tikslui, kadangi planuojama iškastinio kuro ir nusidėvėjusių biokurą naudojančių katilus keiti naujais biokurą ar kitais atsinaujinančius energijos išteklius naudojančiais šilumos gamybos įrenginiais ir tai neturės neigiamo poveikio žmonėms, gamtai ar turtui. </w:t>
            </w:r>
          </w:p>
        </w:tc>
        <w:tc>
          <w:tcPr>
            <w:tcW w:w="2693" w:type="dxa"/>
          </w:tcPr>
          <w:p w14:paraId="4086EA3B" w14:textId="77777777" w:rsidR="00DA38F6" w:rsidRDefault="00DA38F6" w:rsidP="00B71602">
            <w:pPr>
              <w:spacing w:line="276" w:lineRule="auto"/>
              <w:ind w:firstLine="62"/>
              <w:jc w:val="center"/>
              <w:rPr>
                <w:szCs w:val="24"/>
              </w:rPr>
            </w:pPr>
            <w:r>
              <w:rPr>
                <w:szCs w:val="24"/>
              </w:rPr>
              <w:t>□ Taip</w:t>
            </w:r>
          </w:p>
          <w:p w14:paraId="12D4BA65" w14:textId="77777777" w:rsidR="00DA38F6" w:rsidRDefault="00DA38F6" w:rsidP="00B71602">
            <w:pPr>
              <w:spacing w:line="276" w:lineRule="auto"/>
              <w:ind w:firstLine="992"/>
              <w:rPr>
                <w:szCs w:val="24"/>
              </w:rPr>
            </w:pPr>
            <w:r>
              <w:rPr>
                <w:szCs w:val="24"/>
              </w:rPr>
              <w:t>□ Ne</w:t>
            </w:r>
          </w:p>
        </w:tc>
        <w:tc>
          <w:tcPr>
            <w:tcW w:w="3539" w:type="dxa"/>
          </w:tcPr>
          <w:p w14:paraId="05FF69D2" w14:textId="77777777" w:rsidR="00DA38F6" w:rsidRDefault="00DA38F6" w:rsidP="00B71602">
            <w:pPr>
              <w:spacing w:line="276" w:lineRule="auto"/>
              <w:jc w:val="both"/>
              <w:rPr>
                <w:kern w:val="2"/>
                <w:szCs w:val="24"/>
              </w:rPr>
            </w:pPr>
            <w:r>
              <w:rPr>
                <w:kern w:val="2"/>
                <w:szCs w:val="24"/>
              </w:rPr>
              <w:t>Techninis projektas ir (arba) projekto aprašymas ir (arba) galimybių studija</w:t>
            </w:r>
          </w:p>
        </w:tc>
      </w:tr>
      <w:tr w:rsidR="00DA38F6" w14:paraId="71F0B605" w14:textId="77777777" w:rsidTr="00B71602">
        <w:tc>
          <w:tcPr>
            <w:tcW w:w="2552" w:type="dxa"/>
          </w:tcPr>
          <w:p w14:paraId="24672F3B" w14:textId="77777777" w:rsidR="00DA38F6" w:rsidRDefault="00DA38F6" w:rsidP="00B71602">
            <w:pPr>
              <w:spacing w:line="276" w:lineRule="auto"/>
              <w:jc w:val="both"/>
              <w:rPr>
                <w:kern w:val="2"/>
                <w:szCs w:val="24"/>
              </w:rPr>
            </w:pPr>
            <w:r>
              <w:rPr>
                <w:kern w:val="2"/>
                <w:szCs w:val="24"/>
              </w:rPr>
              <w:t>3. Tausus vandens ir jūrų išteklių naudojimas ir apsauga</w:t>
            </w:r>
          </w:p>
        </w:tc>
        <w:tc>
          <w:tcPr>
            <w:tcW w:w="5528" w:type="dxa"/>
          </w:tcPr>
          <w:p w14:paraId="258BC0E7" w14:textId="77777777" w:rsidR="00DA38F6" w:rsidRDefault="00DA38F6" w:rsidP="00B71602">
            <w:pPr>
              <w:tabs>
                <w:tab w:val="left" w:pos="34"/>
              </w:tabs>
              <w:spacing w:line="259" w:lineRule="auto"/>
              <w:ind w:left="51"/>
              <w:jc w:val="both"/>
              <w:rPr>
                <w:bCs/>
                <w:kern w:val="2"/>
                <w:szCs w:val="24"/>
              </w:rPr>
            </w:pPr>
            <w:r>
              <w:rPr>
                <w:bCs/>
                <w:kern w:val="2"/>
                <w:szCs w:val="24"/>
              </w:rPr>
              <w:t>Vertinama, kad planuojama įgyvendinti veikla neturės tiesioginio ar netiesioginio neigiamo poveikio šiam aplinkos tikslui, nes įgyvendinant šią veiklą neplanuojama statyti jokios infrastruktūros vandens telkinių apsaugos zonose arba arti vandens telkinių, kas galėtų turėti neigiamą poveikį tausaus vandens ir jūrų išteklių naudojimui.</w:t>
            </w:r>
          </w:p>
          <w:p w14:paraId="7D7428EB" w14:textId="77777777" w:rsidR="00DA38F6" w:rsidRDefault="00DA38F6" w:rsidP="00B71602">
            <w:pPr>
              <w:spacing w:line="259" w:lineRule="auto"/>
              <w:ind w:left="51"/>
              <w:jc w:val="both"/>
              <w:rPr>
                <w:kern w:val="2"/>
                <w:szCs w:val="24"/>
              </w:rPr>
            </w:pPr>
            <w:r>
              <w:rPr>
                <w:kern w:val="2"/>
                <w:szCs w:val="24"/>
              </w:rPr>
              <w:t>Veikla įgyvendinama vadovaujantis Europos Parlamento ir Tarybos Direktyva (ES) 2018 m. gruodžio 11 d. 2018/2001 dėl skatinimo naudoti atsinaujinančiųjų išteklių energiją, taip pat nacionaliniais teisės aktais, kuriuose nustatyti reikalavimai užtikrinti tausų išteklių naudojimą ir apsaugą.</w:t>
            </w:r>
          </w:p>
        </w:tc>
        <w:tc>
          <w:tcPr>
            <w:tcW w:w="2693" w:type="dxa"/>
          </w:tcPr>
          <w:p w14:paraId="6C52B8C1" w14:textId="77777777" w:rsidR="00DA38F6" w:rsidRDefault="00DA38F6" w:rsidP="00B71602">
            <w:pPr>
              <w:spacing w:line="276" w:lineRule="auto"/>
              <w:ind w:firstLine="62"/>
              <w:jc w:val="center"/>
              <w:rPr>
                <w:szCs w:val="24"/>
              </w:rPr>
            </w:pPr>
            <w:r>
              <w:rPr>
                <w:szCs w:val="24"/>
              </w:rPr>
              <w:t>□ Taip</w:t>
            </w:r>
          </w:p>
          <w:p w14:paraId="3C86A7D8" w14:textId="77777777" w:rsidR="00DA38F6" w:rsidRDefault="00DA38F6" w:rsidP="00B71602">
            <w:pPr>
              <w:spacing w:line="276" w:lineRule="auto"/>
              <w:ind w:firstLine="992"/>
              <w:rPr>
                <w:szCs w:val="24"/>
              </w:rPr>
            </w:pPr>
            <w:r>
              <w:rPr>
                <w:szCs w:val="24"/>
              </w:rPr>
              <w:t>□ Ne</w:t>
            </w:r>
          </w:p>
        </w:tc>
        <w:tc>
          <w:tcPr>
            <w:tcW w:w="3539" w:type="dxa"/>
          </w:tcPr>
          <w:p w14:paraId="14E1DA52" w14:textId="77777777" w:rsidR="00DA38F6" w:rsidRDefault="00DA38F6" w:rsidP="00B71602">
            <w:pPr>
              <w:spacing w:line="276" w:lineRule="auto"/>
              <w:jc w:val="both"/>
              <w:rPr>
                <w:szCs w:val="24"/>
              </w:rPr>
            </w:pPr>
            <w:r>
              <w:rPr>
                <w:szCs w:val="24"/>
              </w:rPr>
              <w:t xml:space="preserve">Įrodymas, kad veikla nepateks į vandens apsaugos zoną. </w:t>
            </w:r>
          </w:p>
          <w:p w14:paraId="37812EE4" w14:textId="77777777" w:rsidR="00DA38F6" w:rsidRDefault="00DA38F6" w:rsidP="00B71602">
            <w:pPr>
              <w:spacing w:line="276" w:lineRule="auto"/>
              <w:jc w:val="both"/>
              <w:rPr>
                <w:kern w:val="2"/>
                <w:szCs w:val="24"/>
              </w:rPr>
            </w:pPr>
          </w:p>
        </w:tc>
      </w:tr>
      <w:tr w:rsidR="00DA38F6" w14:paraId="39A90283" w14:textId="77777777" w:rsidTr="00B71602">
        <w:tc>
          <w:tcPr>
            <w:tcW w:w="2552" w:type="dxa"/>
          </w:tcPr>
          <w:p w14:paraId="3A83CBD0" w14:textId="77777777" w:rsidR="00DA38F6" w:rsidRDefault="00DA38F6" w:rsidP="00B71602">
            <w:pPr>
              <w:spacing w:line="276" w:lineRule="auto"/>
              <w:jc w:val="both"/>
              <w:rPr>
                <w:kern w:val="2"/>
                <w:szCs w:val="24"/>
              </w:rPr>
            </w:pPr>
            <w:r>
              <w:rPr>
                <w:kern w:val="2"/>
                <w:szCs w:val="24"/>
              </w:rPr>
              <w:lastRenderedPageBreak/>
              <w:t>4. Žiedinė ekonomika, įskaitant atliekų prevenciją ir perdirbimą</w:t>
            </w:r>
          </w:p>
        </w:tc>
        <w:tc>
          <w:tcPr>
            <w:tcW w:w="5528" w:type="dxa"/>
          </w:tcPr>
          <w:p w14:paraId="6D2EB6E9" w14:textId="77777777" w:rsidR="00DA38F6" w:rsidRDefault="00DA38F6" w:rsidP="00B71602">
            <w:pPr>
              <w:spacing w:line="276" w:lineRule="auto"/>
              <w:jc w:val="both"/>
              <w:rPr>
                <w:kern w:val="2"/>
                <w:szCs w:val="24"/>
              </w:rPr>
            </w:pPr>
            <w:r>
              <w:rPr>
                <w:kern w:val="2"/>
                <w:szCs w:val="24"/>
              </w:rPr>
              <w:t>Vertinama, kad planuojama įgyvendinti veikla neturi jokio numatomo poveikio šiam aplinkos tikslui arba numatomas jos poveikis yra nereikšmingas, t. y. nedaro tiesioginio ir pirminio netiesioginio poveikio per visą gyvavimo ciklą, todėl laikoma, kad ši investicija atitinka žiedinės ekonomikos, įskaitant atliekų prevenciją ir perdirbimą, tikslą.</w:t>
            </w:r>
          </w:p>
          <w:p w14:paraId="342C0C5F" w14:textId="77777777" w:rsidR="00DA38F6" w:rsidRDefault="00DA38F6" w:rsidP="00B71602">
            <w:pPr>
              <w:spacing w:line="276" w:lineRule="auto"/>
              <w:jc w:val="both"/>
              <w:rPr>
                <w:kern w:val="2"/>
                <w:szCs w:val="24"/>
              </w:rPr>
            </w:pPr>
            <w:r>
              <w:rPr>
                <w:kern w:val="2"/>
                <w:szCs w:val="24"/>
              </w:rPr>
              <w:t>Reikšmingos žalos nedarymo kriterijai:</w:t>
            </w:r>
          </w:p>
          <w:p w14:paraId="18E35894" w14:textId="77777777" w:rsidR="00DA38F6" w:rsidRDefault="00DA38F6" w:rsidP="00B71602">
            <w:pPr>
              <w:spacing w:line="276" w:lineRule="auto"/>
              <w:jc w:val="both"/>
              <w:rPr>
                <w:kern w:val="2"/>
                <w:szCs w:val="24"/>
              </w:rPr>
            </w:pPr>
            <w:r>
              <w:rPr>
                <w:kern w:val="2"/>
                <w:szCs w:val="24"/>
              </w:rPr>
              <w:t>Turi būti parengtas atliekų tvarkymo planas, kuriuo užtikrinamas maksimalus pakartotinis naudojimas, atnaujinimas arba perdirbimas gyvavimo ciklo pabaigoje, be kita ko, sudarant sutartis su atliekų tvarkymo partneriais, svarstant finansines prognozes ar oficialius projekto dokumentus;</w:t>
            </w:r>
          </w:p>
          <w:p w14:paraId="64C9E4DA" w14:textId="77777777" w:rsidR="00DA38F6" w:rsidRDefault="00DA38F6" w:rsidP="00B71602">
            <w:pPr>
              <w:spacing w:line="276" w:lineRule="auto"/>
              <w:jc w:val="both"/>
              <w:rPr>
                <w:kern w:val="2"/>
                <w:szCs w:val="24"/>
              </w:rPr>
            </w:pPr>
            <w:r>
              <w:rPr>
                <w:kern w:val="2"/>
                <w:szCs w:val="24"/>
              </w:rPr>
              <w:t>Vykdant šią veiklą įvertinama, ar yra galimybė naudoti itin patvarią ir perdirbamą įrangą bei komponentus, kuriuos lengva išmontuoti ir atnaujinti, ir, kai įmanoma, jie naudojami.</w:t>
            </w:r>
          </w:p>
        </w:tc>
        <w:tc>
          <w:tcPr>
            <w:tcW w:w="2693" w:type="dxa"/>
          </w:tcPr>
          <w:p w14:paraId="305D7D27" w14:textId="77777777" w:rsidR="00DA38F6" w:rsidRDefault="00DA38F6" w:rsidP="00B71602">
            <w:pPr>
              <w:spacing w:line="276" w:lineRule="auto"/>
              <w:ind w:firstLine="930"/>
              <w:rPr>
                <w:szCs w:val="24"/>
              </w:rPr>
            </w:pPr>
            <w:r>
              <w:rPr>
                <w:szCs w:val="24"/>
              </w:rPr>
              <w:t>□ Taip</w:t>
            </w:r>
          </w:p>
          <w:p w14:paraId="0D97019C" w14:textId="77777777" w:rsidR="00DA38F6" w:rsidRDefault="00DA38F6" w:rsidP="00B71602">
            <w:pPr>
              <w:spacing w:line="276" w:lineRule="auto"/>
              <w:ind w:firstLine="930"/>
              <w:jc w:val="both"/>
              <w:rPr>
                <w:kern w:val="2"/>
                <w:szCs w:val="24"/>
              </w:rPr>
            </w:pPr>
            <w:r>
              <w:rPr>
                <w:szCs w:val="24"/>
              </w:rPr>
              <w:t>□ Ne</w:t>
            </w:r>
          </w:p>
        </w:tc>
        <w:tc>
          <w:tcPr>
            <w:tcW w:w="3539" w:type="dxa"/>
          </w:tcPr>
          <w:p w14:paraId="7525793D" w14:textId="77777777" w:rsidR="00DA38F6" w:rsidRDefault="00DA38F6" w:rsidP="00B71602">
            <w:pPr>
              <w:spacing w:line="276" w:lineRule="auto"/>
              <w:jc w:val="both"/>
              <w:rPr>
                <w:kern w:val="2"/>
                <w:szCs w:val="24"/>
              </w:rPr>
            </w:pPr>
            <w:r>
              <w:rPr>
                <w:kern w:val="2"/>
                <w:szCs w:val="24"/>
              </w:rPr>
              <w:t>Atliekų tvarkymo planas</w:t>
            </w:r>
          </w:p>
        </w:tc>
      </w:tr>
      <w:tr w:rsidR="00DA38F6" w14:paraId="5FA24FAB" w14:textId="77777777" w:rsidTr="00B71602">
        <w:tc>
          <w:tcPr>
            <w:tcW w:w="2552" w:type="dxa"/>
            <w:vAlign w:val="center"/>
          </w:tcPr>
          <w:p w14:paraId="23D21E0E" w14:textId="77777777" w:rsidR="00DA38F6" w:rsidRDefault="00DA38F6" w:rsidP="00B71602">
            <w:pPr>
              <w:spacing w:line="276" w:lineRule="auto"/>
              <w:rPr>
                <w:szCs w:val="24"/>
              </w:rPr>
            </w:pPr>
            <w:r>
              <w:rPr>
                <w:szCs w:val="24"/>
              </w:rPr>
              <w:t>5. Oro, vandens ar žemės taršos prevencija ir kontrolė</w:t>
            </w:r>
          </w:p>
        </w:tc>
        <w:tc>
          <w:tcPr>
            <w:tcW w:w="5528" w:type="dxa"/>
          </w:tcPr>
          <w:p w14:paraId="4ED7B6FB" w14:textId="77777777" w:rsidR="00DA38F6" w:rsidRDefault="00DA38F6" w:rsidP="00B71602">
            <w:pPr>
              <w:jc w:val="both"/>
              <w:rPr>
                <w:szCs w:val="24"/>
              </w:rPr>
            </w:pPr>
            <w:r>
              <w:rPr>
                <w:szCs w:val="24"/>
              </w:rPr>
              <w:t>Nenumatoma, kad vykdant veiklą susidarytų ženkli oro, vandens ir dirvožemio tarša. Veikla neturės jokio neigiamo tiesioginio ar netiesioginio poveikio šiam aplinkos tikslui arba numatomas jos poveikis yra nereikšmingas, t. y. nedaro tiesioginio ir pirminio netiesioginio poveikio per visą gyvavimo ciklą, todėl laikoma, kad veikla atitinka oro, vandens ar žemės taršos prevencijos ir kontrolės tikslą.</w:t>
            </w:r>
          </w:p>
          <w:p w14:paraId="4493A85B" w14:textId="77777777" w:rsidR="00DA38F6" w:rsidRDefault="00DA38F6" w:rsidP="00B71602">
            <w:pPr>
              <w:tabs>
                <w:tab w:val="left" w:pos="318"/>
              </w:tabs>
              <w:spacing w:line="259" w:lineRule="auto"/>
              <w:ind w:left="35"/>
              <w:jc w:val="both"/>
              <w:rPr>
                <w:bCs/>
                <w:kern w:val="2"/>
                <w:szCs w:val="24"/>
              </w:rPr>
            </w:pPr>
            <w:r>
              <w:rPr>
                <w:kern w:val="2"/>
                <w:szCs w:val="24"/>
              </w:rPr>
              <w:t>Veikla bus įgyvendinama vadovaujantis Europos Parlamento ir Tarybos Direktyva (ES) 2018 m. gruodžio 11 d. 2018/2001 dėl skatinimo naudoti atsinaujinančiųjų išteklių energiją, kitais nacionaliniais teisės aktais, kuriuose nustatyti reikalavimai užtikrinti taršos prevenciją ir kontrolę.</w:t>
            </w:r>
          </w:p>
        </w:tc>
        <w:tc>
          <w:tcPr>
            <w:tcW w:w="2693" w:type="dxa"/>
          </w:tcPr>
          <w:p w14:paraId="6FAE777C" w14:textId="77777777" w:rsidR="00DA38F6" w:rsidRDefault="00DA38F6" w:rsidP="00B71602">
            <w:pPr>
              <w:spacing w:line="276" w:lineRule="auto"/>
              <w:jc w:val="center"/>
              <w:rPr>
                <w:szCs w:val="24"/>
              </w:rPr>
            </w:pPr>
            <w:r>
              <w:rPr>
                <w:szCs w:val="24"/>
              </w:rPr>
              <w:t>□ Taip</w:t>
            </w:r>
          </w:p>
          <w:p w14:paraId="132AB461" w14:textId="77777777" w:rsidR="00DA38F6" w:rsidRDefault="00DA38F6" w:rsidP="00B71602">
            <w:pPr>
              <w:spacing w:line="276" w:lineRule="auto"/>
              <w:ind w:firstLine="930"/>
              <w:rPr>
                <w:szCs w:val="24"/>
              </w:rPr>
            </w:pPr>
            <w:r>
              <w:rPr>
                <w:szCs w:val="24"/>
              </w:rPr>
              <w:t>□ Ne</w:t>
            </w:r>
          </w:p>
        </w:tc>
        <w:tc>
          <w:tcPr>
            <w:tcW w:w="3539" w:type="dxa"/>
          </w:tcPr>
          <w:p w14:paraId="6856A91B" w14:textId="77777777" w:rsidR="00DA38F6" w:rsidRDefault="00DA38F6" w:rsidP="00B71602">
            <w:pPr>
              <w:spacing w:line="276" w:lineRule="auto"/>
              <w:jc w:val="both"/>
              <w:rPr>
                <w:szCs w:val="24"/>
              </w:rPr>
            </w:pPr>
            <w:r>
              <w:rPr>
                <w:szCs w:val="24"/>
              </w:rPr>
              <w:t>Pagrindžiančių dokumentų pateikti nereikia</w:t>
            </w:r>
          </w:p>
        </w:tc>
      </w:tr>
      <w:tr w:rsidR="00DA38F6" w14:paraId="6397BB0F" w14:textId="77777777" w:rsidTr="00B71602">
        <w:tc>
          <w:tcPr>
            <w:tcW w:w="2552" w:type="dxa"/>
          </w:tcPr>
          <w:p w14:paraId="70D72B4F" w14:textId="77777777" w:rsidR="00DA38F6" w:rsidRDefault="00DA38F6" w:rsidP="00B71602">
            <w:pPr>
              <w:spacing w:line="276" w:lineRule="auto"/>
              <w:jc w:val="both"/>
              <w:rPr>
                <w:szCs w:val="24"/>
              </w:rPr>
            </w:pPr>
            <w:r>
              <w:rPr>
                <w:szCs w:val="24"/>
              </w:rPr>
              <w:lastRenderedPageBreak/>
              <w:t>6. Biologinės įvairovės ir ekosistemų apsauga ir atkūrimas</w:t>
            </w:r>
          </w:p>
        </w:tc>
        <w:tc>
          <w:tcPr>
            <w:tcW w:w="5528" w:type="dxa"/>
          </w:tcPr>
          <w:p w14:paraId="09A56DE3" w14:textId="77777777" w:rsidR="00DA38F6" w:rsidRDefault="00DA38F6" w:rsidP="00B71602">
            <w:pPr>
              <w:jc w:val="both"/>
              <w:rPr>
                <w:szCs w:val="24"/>
                <w:lang w:eastAsia="lt-LT"/>
              </w:rPr>
            </w:pPr>
            <w:r>
              <w:rPr>
                <w:szCs w:val="24"/>
              </w:rPr>
              <w:t xml:space="preserve">Veikla neturės jokio neigiamo tiesioginio ar netiesioginio poveikio šiam aplinkos tikslui, nes įgyvendinant veiklą nėra numatoma, kad galėtų susidaryti oro, vandens ar žemės tarša. </w:t>
            </w:r>
          </w:p>
          <w:p w14:paraId="2A755E6E" w14:textId="77777777" w:rsidR="00DA38F6" w:rsidRDefault="00DA38F6" w:rsidP="00B71602">
            <w:pPr>
              <w:jc w:val="both"/>
              <w:rPr>
                <w:szCs w:val="24"/>
              </w:rPr>
            </w:pPr>
            <w:r>
              <w:rPr>
                <w:szCs w:val="24"/>
              </w:rPr>
              <w:t>Veikla turi atitikti bendruosius reikšmingos žalos biologinės įvairovės ir ekosistemų apsaugai ir atkūrimui nedarymo kriterijus:</w:t>
            </w:r>
          </w:p>
          <w:p w14:paraId="73B467F1" w14:textId="77777777" w:rsidR="00DA38F6" w:rsidRDefault="00DA38F6" w:rsidP="00B71602">
            <w:pPr>
              <w:ind w:left="720" w:hanging="360"/>
              <w:jc w:val="both"/>
              <w:rPr>
                <w:b/>
                <w:szCs w:val="24"/>
              </w:rPr>
            </w:pPr>
            <w:r>
              <w:rPr>
                <w:rFonts w:ascii="Symbol" w:hAnsi="Symbol"/>
                <w:kern w:val="2"/>
                <w:szCs w:val="24"/>
                <w14:ligatures w14:val="standardContextual"/>
              </w:rPr>
              <w:t></w:t>
            </w:r>
            <w:r>
              <w:rPr>
                <w:rFonts w:ascii="Symbol" w:hAnsi="Symbol"/>
                <w:kern w:val="2"/>
                <w:szCs w:val="24"/>
                <w14:ligatures w14:val="standardContextual"/>
              </w:rPr>
              <w:tab/>
            </w:r>
            <w:r>
              <w:rPr>
                <w:szCs w:val="24"/>
              </w:rPr>
              <w:t xml:space="preserve">Pagal Direktyvą </w:t>
            </w:r>
            <w:hyperlink r:id="rId4" w:tgtFrame="_blank" w:history="1">
              <w:r>
                <w:rPr>
                  <w:color w:val="467886" w:themeColor="hyperlink"/>
                  <w:szCs w:val="24"/>
                  <w:u w:val="single"/>
                </w:rPr>
                <w:t>2011/92/ES</w:t>
              </w:r>
            </w:hyperlink>
            <w:r>
              <w:rPr>
                <w:szCs w:val="24"/>
              </w:rPr>
              <w:t xml:space="preserve"> atliktas poveikio aplinkai vertinimas (PAV) arba analizė. </w:t>
            </w:r>
          </w:p>
          <w:p w14:paraId="6B047B6A" w14:textId="77777777" w:rsidR="00DA38F6" w:rsidRDefault="00DA38F6" w:rsidP="00B71602">
            <w:pPr>
              <w:ind w:left="720" w:hanging="360"/>
              <w:jc w:val="both"/>
              <w:rPr>
                <w:b/>
                <w:szCs w:val="24"/>
              </w:rPr>
            </w:pPr>
            <w:r>
              <w:rPr>
                <w:rFonts w:ascii="Symbol" w:hAnsi="Symbol"/>
                <w:kern w:val="2"/>
                <w:szCs w:val="24"/>
                <w14:ligatures w14:val="standardContextual"/>
              </w:rPr>
              <w:t></w:t>
            </w:r>
            <w:r>
              <w:rPr>
                <w:rFonts w:ascii="Symbol" w:hAnsi="Symbol"/>
                <w:kern w:val="2"/>
                <w:szCs w:val="24"/>
                <w14:ligatures w14:val="standardContextual"/>
              </w:rPr>
              <w:tab/>
            </w:r>
            <w:r>
              <w:rPr>
                <w:szCs w:val="24"/>
              </w:rPr>
              <w:t>Jei buvo atliktas PAV, aplinkos apsaugos tikslais įgyvendintos reikiamos poveikio švelninimo ir kompensuojamosios priemonės.</w:t>
            </w:r>
          </w:p>
          <w:p w14:paraId="25FF7CE2" w14:textId="77777777" w:rsidR="00DA38F6" w:rsidRDefault="00DA38F6" w:rsidP="00B71602">
            <w:pPr>
              <w:jc w:val="both"/>
              <w:rPr>
                <w:bCs/>
                <w:szCs w:val="24"/>
              </w:rPr>
            </w:pPr>
            <w:r>
              <w:rPr>
                <w:szCs w:val="24"/>
              </w:rPr>
              <w:t>Pažeidžiamos biologinės įvairovės vietovėse arba šalia jų (įskaitant „</w:t>
            </w:r>
            <w:proofErr w:type="spellStart"/>
            <w:r>
              <w:rPr>
                <w:szCs w:val="24"/>
              </w:rPr>
              <w:t>Natura</w:t>
            </w:r>
            <w:proofErr w:type="spellEnd"/>
            <w:r>
              <w:rPr>
                <w:szCs w:val="24"/>
              </w:rPr>
              <w:t xml:space="preserve"> 2000“ saugomų teritorijų tinklą, UNESCO pasaulio paveldo objektus ir pagrindines biologinės įvairovės teritorijas, taip pat kitas saugomas teritorijas) esančių vietovių ir (arba) vykdomų operacijų atveju atitinkamais atvejais buvo atliktas atitinkamas vertinimas ir, remiantis jo išvadomis, įgyvendintos būtinos poveikio švelninimo priemonės.</w:t>
            </w:r>
          </w:p>
        </w:tc>
        <w:tc>
          <w:tcPr>
            <w:tcW w:w="2693" w:type="dxa"/>
          </w:tcPr>
          <w:p w14:paraId="5566A8D1" w14:textId="77777777" w:rsidR="00DA38F6" w:rsidRDefault="00DA38F6" w:rsidP="00B71602">
            <w:pPr>
              <w:spacing w:line="276" w:lineRule="auto"/>
              <w:jc w:val="center"/>
              <w:rPr>
                <w:szCs w:val="24"/>
              </w:rPr>
            </w:pPr>
            <w:r>
              <w:rPr>
                <w:szCs w:val="24"/>
              </w:rPr>
              <w:t>□ Taip</w:t>
            </w:r>
          </w:p>
          <w:p w14:paraId="5E673509" w14:textId="77777777" w:rsidR="00DA38F6" w:rsidRDefault="00DA38F6" w:rsidP="00B71602">
            <w:pPr>
              <w:spacing w:line="276" w:lineRule="auto"/>
              <w:ind w:firstLine="930"/>
              <w:rPr>
                <w:szCs w:val="24"/>
              </w:rPr>
            </w:pPr>
            <w:r>
              <w:rPr>
                <w:szCs w:val="24"/>
              </w:rPr>
              <w:t>□ Ne</w:t>
            </w:r>
          </w:p>
        </w:tc>
        <w:tc>
          <w:tcPr>
            <w:tcW w:w="3539" w:type="dxa"/>
          </w:tcPr>
          <w:p w14:paraId="386A95AD" w14:textId="77777777" w:rsidR="00DA38F6" w:rsidRDefault="00DA38F6" w:rsidP="00B71602">
            <w:pPr>
              <w:spacing w:line="276" w:lineRule="auto"/>
              <w:jc w:val="both"/>
              <w:rPr>
                <w:szCs w:val="24"/>
              </w:rPr>
            </w:pPr>
            <w:r>
              <w:rPr>
                <w:szCs w:val="24"/>
              </w:rPr>
              <w:t xml:space="preserve">PAV jeigu taikoma pagal veiklą. </w:t>
            </w:r>
          </w:p>
          <w:p w14:paraId="6BFCEDE7" w14:textId="77777777" w:rsidR="00DA38F6" w:rsidRDefault="00DA38F6" w:rsidP="00B71602">
            <w:pPr>
              <w:spacing w:line="276" w:lineRule="auto"/>
              <w:jc w:val="both"/>
              <w:rPr>
                <w:szCs w:val="24"/>
              </w:rPr>
            </w:pPr>
            <w:r>
              <w:rPr>
                <w:szCs w:val="24"/>
              </w:rPr>
              <w:t xml:space="preserve">Įrodymas, kad veikla nepateks į saugomas teritorijas. </w:t>
            </w:r>
          </w:p>
          <w:p w14:paraId="613FB1E0" w14:textId="77777777" w:rsidR="00DA38F6" w:rsidRDefault="00DA38F6" w:rsidP="00B71602">
            <w:pPr>
              <w:spacing w:line="276" w:lineRule="auto"/>
              <w:jc w:val="both"/>
              <w:rPr>
                <w:szCs w:val="24"/>
              </w:rPr>
            </w:pPr>
          </w:p>
        </w:tc>
      </w:tr>
      <w:tr w:rsidR="00DA38F6" w14:paraId="36B7B461" w14:textId="77777777" w:rsidTr="00B71602">
        <w:tc>
          <w:tcPr>
            <w:tcW w:w="14312" w:type="dxa"/>
            <w:gridSpan w:val="4"/>
          </w:tcPr>
          <w:p w14:paraId="4EF022BD" w14:textId="77777777" w:rsidR="00DA38F6" w:rsidRDefault="00DA38F6" w:rsidP="00B71602">
            <w:pPr>
              <w:spacing w:line="276" w:lineRule="auto"/>
              <w:jc w:val="both"/>
              <w:rPr>
                <w:szCs w:val="24"/>
              </w:rPr>
            </w:pPr>
            <w:r>
              <w:rPr>
                <w:szCs w:val="24"/>
              </w:rPr>
              <w:t>5. Šioje deklaracijoje pateikta informacija apie planuojamo įgyvendinti projekto atitiktį RŽNP yra tikra ir teisinga.</w:t>
            </w:r>
          </w:p>
          <w:p w14:paraId="6D7182E6" w14:textId="77777777" w:rsidR="00DA38F6" w:rsidRDefault="00DA38F6" w:rsidP="00B71602">
            <w:pPr>
              <w:spacing w:line="276" w:lineRule="auto"/>
              <w:jc w:val="both"/>
              <w:rPr>
                <w:szCs w:val="24"/>
              </w:rPr>
            </w:pPr>
            <w:r>
              <w:rPr>
                <w:szCs w:val="24"/>
              </w:rPr>
              <w:t>6. Sutinku Agentūrai pateikti (pagal poreikį) papildomus dokumentus ir (arba) papildomą informaciją, reikalingą įsitikinti, kad projektas nedarys žalos visiems 6 aplinkos tikslams.</w:t>
            </w:r>
          </w:p>
        </w:tc>
      </w:tr>
    </w:tbl>
    <w:p w14:paraId="408FCCC6" w14:textId="77777777" w:rsidR="00DA38F6" w:rsidRDefault="00DA38F6" w:rsidP="00DA38F6">
      <w:pPr>
        <w:jc w:val="center"/>
        <w:rPr>
          <w:rFonts w:eastAsia="Calibri"/>
          <w:szCs w:val="24"/>
        </w:rPr>
      </w:pPr>
    </w:p>
    <w:tbl>
      <w:tblPr>
        <w:tblW w:w="14742" w:type="dxa"/>
        <w:tblLook w:val="04A0" w:firstRow="1" w:lastRow="0" w:firstColumn="1" w:lastColumn="0" w:noHBand="0" w:noVBand="1"/>
      </w:tblPr>
      <w:tblGrid>
        <w:gridCol w:w="6834"/>
        <w:gridCol w:w="7908"/>
      </w:tblGrid>
      <w:tr w:rsidR="00DA38F6" w14:paraId="6CA78E66" w14:textId="77777777" w:rsidTr="00B71602">
        <w:trPr>
          <w:trHeight w:val="288"/>
        </w:trPr>
        <w:tc>
          <w:tcPr>
            <w:tcW w:w="4111" w:type="dxa"/>
            <w:noWrap/>
            <w:vAlign w:val="bottom"/>
            <w:hideMark/>
          </w:tcPr>
          <w:p w14:paraId="67AF921B" w14:textId="77777777" w:rsidR="00DA38F6" w:rsidRDefault="00DA38F6" w:rsidP="00B71602">
            <w:pPr>
              <w:ind w:firstLine="62"/>
              <w:rPr>
                <w:color w:val="000000"/>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7A2A4714" wp14:editId="42F5BB8F">
                      <wp:simplePos x="0" y="0"/>
                      <wp:positionH relativeFrom="column">
                        <wp:posOffset>108585</wp:posOffset>
                      </wp:positionH>
                      <wp:positionV relativeFrom="paragraph">
                        <wp:posOffset>-38735</wp:posOffset>
                      </wp:positionV>
                      <wp:extent cx="2028825" cy="0"/>
                      <wp:effectExtent l="0" t="0" r="0" b="0"/>
                      <wp:wrapNone/>
                      <wp:docPr id="1327846553" name="Straight Connector 1327846553"/>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4E592" id="Straight Connector 13278465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" strokecolor="black [3213]" strokeweight="1pt">
                      <v:stroke joinstyle="miter"/>
                    </v:line>
                  </w:pict>
                </mc:Fallback>
              </mc:AlternateContent>
            </w:r>
          </w:p>
        </w:tc>
        <w:tc>
          <w:tcPr>
            <w:tcW w:w="4757" w:type="dxa"/>
            <w:noWrap/>
            <w:vAlign w:val="bottom"/>
            <w:hideMark/>
          </w:tcPr>
          <w:p w14:paraId="55850F44" w14:textId="77777777" w:rsidR="00DA38F6" w:rsidRDefault="00DA38F6" w:rsidP="00B71602">
            <w:pPr>
              <w:ind w:firstLine="62"/>
              <w:rPr>
                <w:color w:val="000000"/>
                <w:szCs w:val="24"/>
              </w:rPr>
            </w:pPr>
            <w:r>
              <w:rPr>
                <w:noProof/>
                <w:color w:val="000000"/>
                <w:szCs w:val="24"/>
                <w:lang w:val="en-US"/>
              </w:rPr>
              <mc:AlternateContent>
                <mc:Choice Requires="wps">
                  <w:drawing>
                    <wp:anchor distT="0" distB="0" distL="114300" distR="114300" simplePos="0" relativeHeight="251660288" behindDoc="0" locked="0" layoutInCell="1" allowOverlap="1" wp14:anchorId="68292900" wp14:editId="0E16CCDB">
                      <wp:simplePos x="0" y="0"/>
                      <wp:positionH relativeFrom="column">
                        <wp:posOffset>76200</wp:posOffset>
                      </wp:positionH>
                      <wp:positionV relativeFrom="paragraph">
                        <wp:posOffset>20955</wp:posOffset>
                      </wp:positionV>
                      <wp:extent cx="1371600" cy="9525"/>
                      <wp:effectExtent l="0" t="0" r="19050" b="28575"/>
                      <wp:wrapNone/>
                      <wp:docPr id="1710809817" name="Straight Connector 1710809817"/>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0890B" id="Straight Connector 17108098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" strokecolor="black [3213]" strokeweight="1pt">
                      <v:stroke joinstyle="miter"/>
                    </v:line>
                  </w:pict>
                </mc:Fallback>
              </mc:AlternateContent>
            </w:r>
          </w:p>
        </w:tc>
      </w:tr>
      <w:tr w:rsidR="00DA38F6" w14:paraId="332DA4E2" w14:textId="77777777" w:rsidTr="00B71602">
        <w:trPr>
          <w:trHeight w:val="288"/>
        </w:trPr>
        <w:tc>
          <w:tcPr>
            <w:tcW w:w="4111" w:type="dxa"/>
            <w:noWrap/>
            <w:vAlign w:val="center"/>
          </w:tcPr>
          <w:p w14:paraId="730ED211" w14:textId="77777777" w:rsidR="00DA38F6" w:rsidRDefault="00DA38F6" w:rsidP="00B71602">
            <w:pPr>
              <w:ind w:firstLine="186"/>
              <w:rPr>
                <w:color w:val="000000"/>
                <w:szCs w:val="24"/>
              </w:rPr>
            </w:pPr>
            <w:r>
              <w:rPr>
                <w:color w:val="000000"/>
                <w:szCs w:val="24"/>
              </w:rPr>
              <w:t>Pareigos, vardas pavardė</w:t>
            </w:r>
          </w:p>
        </w:tc>
        <w:tc>
          <w:tcPr>
            <w:tcW w:w="4757" w:type="dxa"/>
            <w:noWrap/>
            <w:vAlign w:val="center"/>
          </w:tcPr>
          <w:p w14:paraId="1A9DCF7D" w14:textId="77777777" w:rsidR="00DA38F6" w:rsidRDefault="00DA38F6" w:rsidP="00B71602">
            <w:pPr>
              <w:ind w:firstLine="868"/>
              <w:rPr>
                <w:color w:val="000000"/>
                <w:szCs w:val="24"/>
                <w:lang w:eastAsia="lt-LT"/>
              </w:rPr>
            </w:pPr>
            <w:r>
              <w:rPr>
                <w:color w:val="000000"/>
                <w:szCs w:val="24"/>
              </w:rPr>
              <w:t>parašas</w:t>
            </w:r>
            <w:r>
              <w:rPr>
                <w:color w:val="000000"/>
                <w:szCs w:val="24"/>
                <w:lang w:eastAsia="lt-LT"/>
              </w:rPr>
              <w:t xml:space="preserve"> </w:t>
            </w:r>
          </w:p>
        </w:tc>
      </w:tr>
    </w:tbl>
    <w:p w14:paraId="791B4DF6" w14:textId="77777777" w:rsidR="00DA38F6" w:rsidRDefault="00DA38F6" w:rsidP="00DA38F6">
      <w:pPr>
        <w:jc w:val="center"/>
        <w:rPr>
          <w:rFonts w:eastAsia="Calibri"/>
          <w:szCs w:val="24"/>
        </w:rPr>
      </w:pPr>
      <w:r>
        <w:rPr>
          <w:rFonts w:eastAsia="Calibri"/>
          <w:szCs w:val="24"/>
        </w:rPr>
        <w:t>________________________</w:t>
      </w:r>
    </w:p>
    <w:p w14:paraId="278ACABC" w14:textId="77777777" w:rsidR="00DA38F6" w:rsidRDefault="00DA38F6" w:rsidP="00DA38F6">
      <w:pPr>
        <w:jc w:val="center"/>
        <w:rPr>
          <w:rFonts w:eastAsia="Calibri"/>
          <w:szCs w:val="24"/>
        </w:rPr>
      </w:pPr>
    </w:p>
    <w:p w14:paraId="12904539" w14:textId="77777777" w:rsidR="00DA38F6" w:rsidRDefault="00DA38F6" w:rsidP="00DA38F6">
      <w:pPr>
        <w:spacing w:line="259" w:lineRule="auto"/>
        <w:jc w:val="center"/>
        <w:rPr>
          <w:b/>
          <w:bCs/>
          <w:szCs w:val="24"/>
        </w:rPr>
      </w:pPr>
    </w:p>
    <w:p w14:paraId="4F24211B" w14:textId="5A1512B4" w:rsidR="00C82A69" w:rsidRDefault="00C82A69" w:rsidP="00DA38F6"/>
    <w:sectPr w:rsidR="00C82A69" w:rsidSect="00DA38F6">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48"/>
    <w:rsid w:val="00166148"/>
    <w:rsid w:val="00575B20"/>
    <w:rsid w:val="0060678B"/>
    <w:rsid w:val="00C82A69"/>
    <w:rsid w:val="00DA3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27855-9B6D-489A-8C52-6DFB86A8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F6"/>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661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1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14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14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6614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6614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6614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6614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6614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48"/>
    <w:rPr>
      <w:rFonts w:eastAsiaTheme="majorEastAsia" w:cstheme="majorBidi"/>
      <w:color w:val="272727" w:themeColor="text1" w:themeTint="D8"/>
    </w:rPr>
  </w:style>
  <w:style w:type="paragraph" w:styleId="Title">
    <w:name w:val="Title"/>
    <w:basedOn w:val="Normal"/>
    <w:next w:val="Normal"/>
    <w:link w:val="TitleChar"/>
    <w:uiPriority w:val="10"/>
    <w:qFormat/>
    <w:rsid w:val="001661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4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66148"/>
    <w:rPr>
      <w:i/>
      <w:iCs/>
      <w:color w:val="404040" w:themeColor="text1" w:themeTint="BF"/>
    </w:rPr>
  </w:style>
  <w:style w:type="paragraph" w:styleId="ListParagraph">
    <w:name w:val="List Paragraph"/>
    <w:basedOn w:val="Normal"/>
    <w:uiPriority w:val="34"/>
    <w:qFormat/>
    <w:rsid w:val="0016614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66148"/>
    <w:rPr>
      <w:i/>
      <w:iCs/>
      <w:color w:val="0F4761" w:themeColor="accent1" w:themeShade="BF"/>
    </w:rPr>
  </w:style>
  <w:style w:type="paragraph" w:styleId="IntenseQuote">
    <w:name w:val="Intense Quote"/>
    <w:basedOn w:val="Normal"/>
    <w:next w:val="Normal"/>
    <w:link w:val="IntenseQuoteChar"/>
    <w:uiPriority w:val="30"/>
    <w:qFormat/>
    <w:rsid w:val="001661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66148"/>
    <w:rPr>
      <w:i/>
      <w:iCs/>
      <w:color w:val="0F4761" w:themeColor="accent1" w:themeShade="BF"/>
    </w:rPr>
  </w:style>
  <w:style w:type="character" w:styleId="IntenseReference">
    <w:name w:val="Intense Reference"/>
    <w:basedOn w:val="DefaultParagraphFont"/>
    <w:uiPriority w:val="32"/>
    <w:qFormat/>
    <w:rsid w:val="001661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1L0092&amp;locale=lt"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9E1CB-3A1C-4517-B0EB-0FCDC39495BC}"/>
</file>

<file path=customXml/itemProps2.xml><?xml version="1.0" encoding="utf-8"?>
<ds:datastoreItem xmlns:ds="http://schemas.openxmlformats.org/officeDocument/2006/customXml" ds:itemID="{68A2E886-9A1C-450D-BBE4-2238CFF5EEED}"/>
</file>

<file path=customXml/itemProps3.xml><?xml version="1.0" encoding="utf-8"?>
<ds:datastoreItem xmlns:ds="http://schemas.openxmlformats.org/officeDocument/2006/customXml" ds:itemID="{1C477806-B1E1-425C-BC7D-CCEF05059FE9}"/>
</file>

<file path=docProps/app.xml><?xml version="1.0" encoding="utf-8"?>
<Properties xmlns="http://schemas.openxmlformats.org/officeDocument/2006/extended-properties" xmlns:vt="http://schemas.openxmlformats.org/officeDocument/2006/docPropsVTypes">
  <Template>Normal</Template>
  <TotalTime>4</TotalTime>
  <Pages>4</Pages>
  <Words>5115</Words>
  <Characters>2917</Characters>
  <Application>Microsoft Office Word</Application>
  <DocSecurity>0</DocSecurity>
  <Lines>24</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Ramoškienė</dc:creator>
  <cp:keywords/>
  <dc:description/>
  <cp:lastModifiedBy>Jūratė Ramoškienė</cp:lastModifiedBy>
  <cp:revision>2</cp:revision>
  <dcterms:created xsi:type="dcterms:W3CDTF">2026-03-18T12:42:00Z</dcterms:created>
  <dcterms:modified xsi:type="dcterms:W3CDTF">2026-03-18T12:46:00Z</dcterms:modified>
</cp:coreProperties>
</file>