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85AA8" w14:textId="77777777" w:rsidR="00BB48CE" w:rsidRDefault="00000000">
      <w:pPr>
        <w:jc w:val="both"/>
      </w:pPr>
      <w:r>
        <w:rPr>
          <w:b/>
          <w:i/>
        </w:rPr>
        <w:t>Suvestinė redakcija nuo 2026-07-08</w:t>
      </w:r>
    </w:p>
    <w:p w14:paraId="55FABB58" w14:textId="77777777" w:rsidR="00BB48CE" w:rsidRDefault="00BB48CE">
      <w:pPr>
        <w:jc w:val="both"/>
        <w:rPr>
          <w:sz w:val="20"/>
        </w:rPr>
      </w:pPr>
    </w:p>
    <w:p w14:paraId="0EF1F06B" w14:textId="77777777" w:rsidR="00BB48CE" w:rsidRDefault="00000000">
      <w:pPr>
        <w:jc w:val="both"/>
        <w:rPr>
          <w:i/>
          <w:sz w:val="20"/>
        </w:rPr>
      </w:pPr>
      <w:r>
        <w:rPr>
          <w:i/>
          <w:sz w:val="20"/>
        </w:rPr>
        <w:t>Įsakymas paskelbtas: TAR 2022-06-01, i. k. 2022-11855</w:t>
      </w:r>
    </w:p>
    <w:p w14:paraId="674E658E" w14:textId="77777777" w:rsidR="004B5DCA" w:rsidRPr="004B5DCA" w:rsidRDefault="004B5DCA" w:rsidP="004B5DCA">
      <w:pPr>
        <w:jc w:val="both"/>
        <w:rPr>
          <w:i/>
          <w:sz w:val="20"/>
        </w:rPr>
      </w:pPr>
      <w:hyperlink r:id="rId10" w:history="1">
        <w:r w:rsidRPr="004B5DCA">
          <w:rPr>
            <w:rStyle w:val="Hipersaitas"/>
            <w:i/>
            <w:sz w:val="20"/>
          </w:rPr>
          <w:t>https://www.e-tar.lt/portal/lt/legalAct/922427b0e1a111ec8d9390588bf2de65</w:t>
        </w:r>
      </w:hyperlink>
    </w:p>
    <w:p w14:paraId="166802AE" w14:textId="77777777" w:rsidR="004B5DCA" w:rsidRDefault="004B5DCA">
      <w:pPr>
        <w:jc w:val="both"/>
        <w:rPr>
          <w:i/>
          <w:sz w:val="20"/>
        </w:rPr>
      </w:pPr>
    </w:p>
    <w:p w14:paraId="34523C4E" w14:textId="77777777" w:rsidR="004B5DCA" w:rsidRDefault="004B5DCA">
      <w:pPr>
        <w:jc w:val="both"/>
        <w:rPr>
          <w:i/>
          <w:sz w:val="20"/>
        </w:rPr>
      </w:pPr>
    </w:p>
    <w:p w14:paraId="27811ABB" w14:textId="77777777" w:rsidR="00BB48CE" w:rsidRDefault="00000000">
      <w:pPr>
        <w:ind w:left="5670"/>
        <w:rPr>
          <w:szCs w:val="24"/>
        </w:rPr>
      </w:pPr>
      <w:r>
        <w:rPr>
          <w:szCs w:val="24"/>
        </w:rPr>
        <w:t xml:space="preserve">PATVIRTINTA </w:t>
      </w:r>
    </w:p>
    <w:p w14:paraId="1EEB4483" w14:textId="77777777" w:rsidR="00BB48CE" w:rsidRDefault="00000000">
      <w:pPr>
        <w:ind w:left="4374" w:firstLine="1296"/>
        <w:jc w:val="both"/>
        <w:rPr>
          <w:color w:val="000000"/>
          <w:szCs w:val="24"/>
          <w:lang w:eastAsia="lt-LT"/>
        </w:rPr>
      </w:pPr>
      <w:r>
        <w:rPr>
          <w:color w:val="000000"/>
          <w:szCs w:val="24"/>
          <w:lang w:eastAsia="lt-LT"/>
        </w:rPr>
        <w:t>Lietuvos Respublikos aplinkos ministro</w:t>
      </w:r>
    </w:p>
    <w:p w14:paraId="42B0217E" w14:textId="77777777" w:rsidR="00BB48CE" w:rsidRDefault="00000000">
      <w:pPr>
        <w:ind w:left="4806" w:firstLine="864"/>
        <w:jc w:val="both"/>
        <w:rPr>
          <w:color w:val="000000"/>
          <w:szCs w:val="24"/>
          <w:lang w:eastAsia="lt-LT"/>
        </w:rPr>
      </w:pPr>
      <w:r>
        <w:rPr>
          <w:color w:val="000000"/>
          <w:szCs w:val="24"/>
          <w:lang w:eastAsia="lt-LT"/>
        </w:rPr>
        <w:t>2022 m. birželio 1 d. įsakymu Nr. D1-160</w:t>
      </w:r>
    </w:p>
    <w:p w14:paraId="7A01B8AF" w14:textId="77777777" w:rsidR="00BB48CE" w:rsidRDefault="00000000">
      <w:pPr>
        <w:ind w:left="5670"/>
        <w:rPr>
          <w:szCs w:val="24"/>
        </w:rPr>
      </w:pPr>
      <w:r>
        <w:rPr>
          <w:szCs w:val="24"/>
        </w:rPr>
        <w:t>(Lietuvos Respublikos aplinkos ministro</w:t>
      </w:r>
    </w:p>
    <w:p w14:paraId="2F171094" w14:textId="77777777" w:rsidR="00BB48CE" w:rsidRDefault="00000000">
      <w:pPr>
        <w:ind w:left="5670"/>
        <w:rPr>
          <w:szCs w:val="24"/>
        </w:rPr>
      </w:pPr>
      <w:r>
        <w:rPr>
          <w:szCs w:val="24"/>
        </w:rPr>
        <w:t>2026 m. liepos 7 d. įsakymo Nr. D1-128</w:t>
      </w:r>
    </w:p>
    <w:p w14:paraId="22E3D31C" w14:textId="77777777" w:rsidR="00BB48CE" w:rsidRDefault="00000000">
      <w:pPr>
        <w:ind w:left="5670"/>
        <w:rPr>
          <w:szCs w:val="24"/>
        </w:rPr>
      </w:pPr>
      <w:r>
        <w:rPr>
          <w:szCs w:val="24"/>
        </w:rPr>
        <w:t>redakcija)</w:t>
      </w:r>
    </w:p>
    <w:p w14:paraId="1926AEBE" w14:textId="77777777" w:rsidR="00BB48CE" w:rsidRDefault="00BB48CE">
      <w:pPr>
        <w:ind w:left="5670"/>
        <w:rPr>
          <w:szCs w:val="24"/>
        </w:rPr>
      </w:pPr>
    </w:p>
    <w:p w14:paraId="7C0A7321" w14:textId="77777777" w:rsidR="00BB48CE" w:rsidRDefault="00000000">
      <w:pPr>
        <w:spacing w:line="276" w:lineRule="auto"/>
        <w:jc w:val="center"/>
        <w:rPr>
          <w:b/>
          <w:bCs/>
          <w:i/>
          <w:iCs/>
          <w:szCs w:val="24"/>
        </w:rPr>
      </w:pPr>
      <w:r>
        <w:rPr>
          <w:b/>
          <w:bCs/>
          <w:iCs/>
          <w:szCs w:val="24"/>
        </w:rPr>
        <w:t>2022‒2030 METŲ PLĖTROS PROGRAMOS VALDYTOJOS LIETUVOS RESPUBLIKOS APLINKOS MINISTERIJOS APLINKOS APSAUGOS IR KLIMATO KAITOS VALDYMO PLĖTROS PROGRAMOS PAŽANGOS PRIEMONĖS NR. 02-001-06-04-02 „DIDINTI KLIMATO KAITOS POLITIKOS VEIKSMINGUMĄ“ VEIKLOS „INVESTICINĖ PARAMA BIOMETANO GAMYBAI IR (AR) BIODUJŲ IŠVALYMUI“ PROJEKTŲ FINANSAVIMO SĄLYGŲ APRAŠAS</w:t>
      </w:r>
    </w:p>
    <w:p w14:paraId="37EFBD76" w14:textId="77777777" w:rsidR="00BB48CE" w:rsidRDefault="00BB48CE">
      <w:pPr>
        <w:rPr>
          <w:szCs w:val="24"/>
        </w:rPr>
      </w:pPr>
    </w:p>
    <w:p w14:paraId="0344371B" w14:textId="77777777" w:rsidR="00BB48CE" w:rsidRDefault="00BB48CE">
      <w:pPr>
        <w:rPr>
          <w:sz w:val="14"/>
          <w:szCs w:val="1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BB48CE" w14:paraId="61EAFD1E" w14:textId="77777777">
        <w:tc>
          <w:tcPr>
            <w:tcW w:w="9634" w:type="dxa"/>
            <w:vAlign w:val="center"/>
          </w:tcPr>
          <w:p w14:paraId="6B02B51D" w14:textId="77777777" w:rsidR="00BB48CE" w:rsidRDefault="00000000">
            <w:pPr>
              <w:rPr>
                <w:b/>
                <w:szCs w:val="24"/>
              </w:rPr>
            </w:pPr>
            <w:r>
              <w:rPr>
                <w:b/>
                <w:szCs w:val="24"/>
              </w:rPr>
              <w:t>VEIKLOS AR POVEIKLĖS, KURIOMS NUSTATOMOS PROJEKTŲ FINANSAVIMO SĄLYGOS, PAVADINIMAS</w:t>
            </w:r>
          </w:p>
        </w:tc>
      </w:tr>
      <w:tr w:rsidR="00BB48CE" w14:paraId="24CFC155" w14:textId="77777777">
        <w:tc>
          <w:tcPr>
            <w:tcW w:w="9634" w:type="dxa"/>
          </w:tcPr>
          <w:p w14:paraId="0EFD41BE" w14:textId="77777777" w:rsidR="00BB48CE" w:rsidRDefault="00000000">
            <w:pPr>
              <w:jc w:val="both"/>
              <w:rPr>
                <w:szCs w:val="24"/>
              </w:rPr>
            </w:pPr>
            <w:r>
              <w:rPr>
                <w:szCs w:val="24"/>
                <w:lang w:val="pt-BR"/>
              </w:rPr>
              <w:t xml:space="preserve">13. </w:t>
            </w:r>
            <w:r>
              <w:rPr>
                <w:szCs w:val="24"/>
              </w:rPr>
              <w:t>Investicinė parama biometano gamybai ir (ar) biodujų išvalymui</w:t>
            </w:r>
          </w:p>
        </w:tc>
      </w:tr>
    </w:tbl>
    <w:p w14:paraId="5138B345" w14:textId="77777777" w:rsidR="00BB48CE" w:rsidRDefault="00BB48CE">
      <w:pPr>
        <w:spacing w:line="259" w:lineRule="auto"/>
        <w:jc w:val="both"/>
        <w:rPr>
          <w:iCs/>
          <w:szCs w:val="24"/>
        </w:rPr>
      </w:pPr>
    </w:p>
    <w:p w14:paraId="07422C4C" w14:textId="77777777" w:rsidR="00BB48CE" w:rsidRDefault="00000000">
      <w:pPr>
        <w:spacing w:line="259" w:lineRule="auto"/>
        <w:jc w:val="both"/>
        <w:rPr>
          <w:b/>
          <w:bCs/>
          <w:iCs/>
          <w:szCs w:val="24"/>
        </w:rPr>
      </w:pPr>
      <w:r>
        <w:rPr>
          <w:b/>
          <w:bCs/>
          <w:iCs/>
          <w:szCs w:val="24"/>
        </w:rPr>
        <w:t xml:space="preserve">STEBĖSENOS RODIKLIAI </w:t>
      </w:r>
      <w:r>
        <w:rPr>
          <w:iCs/>
          <w:szCs w:val="24"/>
        </w:rPr>
        <w:t>(toliau – rodikliai)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2268"/>
        <w:gridCol w:w="2580"/>
      </w:tblGrid>
      <w:tr w:rsidR="00BB48CE" w14:paraId="487D944A" w14:textId="77777777">
        <w:trPr>
          <w:trHeight w:val="405"/>
        </w:trPr>
        <w:tc>
          <w:tcPr>
            <w:tcW w:w="2660" w:type="dxa"/>
            <w:shd w:val="clear" w:color="auto" w:fill="D0CECE" w:themeFill="background2" w:themeFillShade="E6"/>
            <w:vAlign w:val="center"/>
          </w:tcPr>
          <w:p w14:paraId="10AA0500" w14:textId="77777777" w:rsidR="00BB48CE" w:rsidRDefault="00000000">
            <w:pPr>
              <w:spacing w:line="259" w:lineRule="auto"/>
              <w:jc w:val="center"/>
              <w:rPr>
                <w:b/>
                <w:bCs/>
                <w:szCs w:val="24"/>
              </w:rPr>
            </w:pPr>
            <w:r>
              <w:rPr>
                <w:b/>
                <w:bCs/>
                <w:szCs w:val="24"/>
              </w:rPr>
              <w:t>Rodiklio pavadinimas</w:t>
            </w:r>
          </w:p>
        </w:tc>
        <w:tc>
          <w:tcPr>
            <w:tcW w:w="2126" w:type="dxa"/>
            <w:shd w:val="clear" w:color="auto" w:fill="D0CECE" w:themeFill="background2" w:themeFillShade="E6"/>
            <w:vAlign w:val="center"/>
          </w:tcPr>
          <w:p w14:paraId="658E9CFA" w14:textId="77777777" w:rsidR="00BB48CE" w:rsidRDefault="00000000">
            <w:pPr>
              <w:spacing w:line="259" w:lineRule="auto"/>
              <w:jc w:val="center"/>
              <w:rPr>
                <w:b/>
                <w:bCs/>
                <w:szCs w:val="24"/>
              </w:rPr>
            </w:pPr>
            <w:r>
              <w:rPr>
                <w:b/>
                <w:bCs/>
                <w:szCs w:val="24"/>
              </w:rPr>
              <w:t>Rodiklio kodas</w:t>
            </w:r>
          </w:p>
        </w:tc>
        <w:tc>
          <w:tcPr>
            <w:tcW w:w="2268" w:type="dxa"/>
            <w:shd w:val="clear" w:color="auto" w:fill="D0CECE" w:themeFill="background2" w:themeFillShade="E6"/>
            <w:vAlign w:val="center"/>
          </w:tcPr>
          <w:p w14:paraId="2B2903B4" w14:textId="77777777" w:rsidR="00BB48CE" w:rsidRDefault="00000000">
            <w:pPr>
              <w:spacing w:line="259" w:lineRule="auto"/>
              <w:jc w:val="center"/>
              <w:rPr>
                <w:b/>
                <w:bCs/>
                <w:szCs w:val="24"/>
              </w:rPr>
            </w:pPr>
            <w:r>
              <w:rPr>
                <w:b/>
                <w:bCs/>
                <w:szCs w:val="24"/>
              </w:rPr>
              <w:t>Matavimo vienetai</w:t>
            </w:r>
          </w:p>
        </w:tc>
        <w:tc>
          <w:tcPr>
            <w:tcW w:w="2580" w:type="dxa"/>
            <w:shd w:val="clear" w:color="auto" w:fill="D0CECE" w:themeFill="background2" w:themeFillShade="E6"/>
            <w:vAlign w:val="center"/>
          </w:tcPr>
          <w:p w14:paraId="5F7FE4E8" w14:textId="77777777" w:rsidR="00BB48CE" w:rsidRDefault="00000000">
            <w:pPr>
              <w:spacing w:line="259" w:lineRule="auto"/>
              <w:jc w:val="center"/>
              <w:rPr>
                <w:b/>
                <w:bCs/>
                <w:szCs w:val="24"/>
              </w:rPr>
            </w:pPr>
            <w:r>
              <w:rPr>
                <w:b/>
                <w:bCs/>
                <w:szCs w:val="24"/>
              </w:rPr>
              <w:t>Siektina reikšmė ir pasiekimo data</w:t>
            </w:r>
          </w:p>
        </w:tc>
      </w:tr>
      <w:tr w:rsidR="00BB48CE" w14:paraId="3CDE1FF6" w14:textId="77777777">
        <w:trPr>
          <w:trHeight w:val="725"/>
        </w:trPr>
        <w:tc>
          <w:tcPr>
            <w:tcW w:w="2660" w:type="dxa"/>
          </w:tcPr>
          <w:p w14:paraId="14AEA5F7" w14:textId="77777777" w:rsidR="00BB48CE" w:rsidRDefault="00000000">
            <w:pPr>
              <w:spacing w:line="259" w:lineRule="auto"/>
              <w:jc w:val="center"/>
              <w:rPr>
                <w:i/>
                <w:iCs/>
                <w:color w:val="808080"/>
                <w:szCs w:val="24"/>
              </w:rPr>
            </w:pPr>
            <w:r>
              <w:rPr>
                <w:bCs/>
                <w:iCs/>
                <w:color w:val="000000"/>
              </w:rPr>
              <w:t>Suminis ŠESD sumažinimo efektas tūkst. tonų CO</w:t>
            </w:r>
            <w:r>
              <w:rPr>
                <w:bCs/>
                <w:iCs/>
                <w:color w:val="000000"/>
                <w:vertAlign w:val="subscript"/>
              </w:rPr>
              <w:t>2</w:t>
            </w:r>
          </w:p>
        </w:tc>
        <w:tc>
          <w:tcPr>
            <w:tcW w:w="2126" w:type="dxa"/>
          </w:tcPr>
          <w:p w14:paraId="0B21A85C" w14:textId="77777777" w:rsidR="00BB48CE" w:rsidRDefault="00000000">
            <w:pPr>
              <w:spacing w:line="259" w:lineRule="auto"/>
              <w:jc w:val="center"/>
              <w:rPr>
                <w:bCs/>
                <w:iCs/>
              </w:rPr>
            </w:pPr>
            <w:r>
              <w:rPr>
                <w:bCs/>
                <w:iCs/>
              </w:rPr>
              <w:t xml:space="preserve">09.900.0009 </w:t>
            </w:r>
          </w:p>
          <w:p w14:paraId="25448AAB" w14:textId="77777777" w:rsidR="00BB48CE" w:rsidRDefault="00BB48CE">
            <w:pPr>
              <w:spacing w:line="259" w:lineRule="auto"/>
              <w:jc w:val="center"/>
              <w:rPr>
                <w:i/>
                <w:iCs/>
                <w:color w:val="808080"/>
                <w:szCs w:val="24"/>
              </w:rPr>
            </w:pPr>
          </w:p>
        </w:tc>
        <w:tc>
          <w:tcPr>
            <w:tcW w:w="2268" w:type="dxa"/>
          </w:tcPr>
          <w:p w14:paraId="51889345" w14:textId="77777777" w:rsidR="00BB48CE" w:rsidRDefault="00000000">
            <w:pPr>
              <w:spacing w:line="259" w:lineRule="auto"/>
              <w:jc w:val="center"/>
              <w:rPr>
                <w:i/>
                <w:iCs/>
                <w:color w:val="808080"/>
                <w:szCs w:val="24"/>
              </w:rPr>
            </w:pPr>
            <w:r>
              <w:rPr>
                <w:bCs/>
                <w:iCs/>
                <w:color w:val="000000"/>
              </w:rPr>
              <w:t>tūkst. tonų CO</w:t>
            </w:r>
            <w:r>
              <w:rPr>
                <w:bCs/>
                <w:iCs/>
                <w:color w:val="000000"/>
                <w:vertAlign w:val="subscript"/>
              </w:rPr>
              <w:t>2</w:t>
            </w:r>
          </w:p>
        </w:tc>
        <w:tc>
          <w:tcPr>
            <w:tcW w:w="2580" w:type="dxa"/>
          </w:tcPr>
          <w:p w14:paraId="7F868D0A" w14:textId="77777777" w:rsidR="00BB48CE" w:rsidRDefault="00000000">
            <w:pPr>
              <w:spacing w:line="259" w:lineRule="auto"/>
              <w:jc w:val="center"/>
              <w:rPr>
                <w:bCs/>
                <w:iCs/>
              </w:rPr>
            </w:pPr>
            <w:r>
              <w:rPr>
                <w:bCs/>
                <w:iCs/>
              </w:rPr>
              <w:t>189,87</w:t>
            </w:r>
          </w:p>
          <w:p w14:paraId="67DDA3B4" w14:textId="77777777" w:rsidR="00BB48CE" w:rsidRDefault="00000000">
            <w:pPr>
              <w:spacing w:line="259" w:lineRule="auto"/>
              <w:jc w:val="center"/>
              <w:rPr>
                <w:i/>
                <w:iCs/>
                <w:color w:val="808080"/>
                <w:szCs w:val="24"/>
              </w:rPr>
            </w:pPr>
            <w:r>
              <w:rPr>
                <w:bCs/>
                <w:iCs/>
              </w:rPr>
              <w:t>(2030 m.)</w:t>
            </w:r>
          </w:p>
        </w:tc>
      </w:tr>
    </w:tbl>
    <w:p w14:paraId="307CE59A" w14:textId="77777777" w:rsidR="00BB48CE" w:rsidRDefault="00BB48CE">
      <w:pPr>
        <w:jc w:val="both"/>
        <w:rPr>
          <w:i/>
          <w:iCs/>
          <w:color w:val="808080"/>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BB48CE" w14:paraId="6D95618D" w14:textId="77777777">
        <w:trPr>
          <w:trHeight w:val="298"/>
        </w:trPr>
        <w:tc>
          <w:tcPr>
            <w:tcW w:w="9639" w:type="dxa"/>
          </w:tcPr>
          <w:p w14:paraId="4281187E" w14:textId="77777777" w:rsidR="00BB48CE" w:rsidRDefault="00000000">
            <w:pPr>
              <w:rPr>
                <w:b/>
                <w:sz w:val="22"/>
                <w:szCs w:val="24"/>
              </w:rPr>
            </w:pPr>
            <w:r>
              <w:rPr>
                <w:b/>
                <w:bCs/>
                <w:szCs w:val="24"/>
              </w:rPr>
              <w:t>Rodiklių aprašymo kortelės</w:t>
            </w:r>
          </w:p>
        </w:tc>
      </w:tr>
      <w:tr w:rsidR="00BB48CE" w14:paraId="39608C92" w14:textId="77777777">
        <w:trPr>
          <w:trHeight w:val="315"/>
        </w:trPr>
        <w:tc>
          <w:tcPr>
            <w:tcW w:w="9639" w:type="dxa"/>
          </w:tcPr>
          <w:p w14:paraId="16CC5EE1" w14:textId="77777777" w:rsidR="00BB48CE" w:rsidRDefault="00000000">
            <w:pPr>
              <w:rPr>
                <w:szCs w:val="24"/>
              </w:rPr>
            </w:pPr>
            <w:r>
              <w:rPr>
                <w:szCs w:val="24"/>
              </w:rPr>
              <w:t>https://am.lrv.lt/lt/administracine-informacija/planavimo-dokumentai/pazangos-priemones/didinti-klimato-kaitos-politikos-veiksminguma/</w:t>
            </w:r>
          </w:p>
        </w:tc>
      </w:tr>
    </w:tbl>
    <w:p w14:paraId="47FD84AC" w14:textId="77777777" w:rsidR="00BB48CE" w:rsidRDefault="00BB48CE">
      <w:pPr>
        <w:spacing w:line="259" w:lineRule="auto"/>
        <w:jc w:val="both"/>
        <w:rPr>
          <w: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B48CE" w14:paraId="5E5C9D1A" w14:textId="77777777">
        <w:tc>
          <w:tcPr>
            <w:tcW w:w="5000" w:type="pct"/>
          </w:tcPr>
          <w:p w14:paraId="63D786D6" w14:textId="77777777" w:rsidR="00BB48CE" w:rsidRDefault="00000000">
            <w:pPr>
              <w:rPr>
                <w:b/>
                <w:szCs w:val="24"/>
              </w:rPr>
            </w:pPr>
            <w:r>
              <w:rPr>
                <w:b/>
                <w:szCs w:val="24"/>
              </w:rPr>
              <w:t>SPECIALIEJI FINANSAVIMO REIKALAVIMAI</w:t>
            </w:r>
          </w:p>
        </w:tc>
      </w:tr>
      <w:tr w:rsidR="00BB48CE" w14:paraId="080494BA" w14:textId="77777777">
        <w:tc>
          <w:tcPr>
            <w:tcW w:w="5000" w:type="pct"/>
          </w:tcPr>
          <w:p w14:paraId="2203D4B9" w14:textId="77777777" w:rsidR="00BB48CE" w:rsidRDefault="00000000">
            <w:pPr>
              <w:rPr>
                <w:b/>
                <w:bCs/>
                <w:szCs w:val="24"/>
              </w:rPr>
            </w:pPr>
            <w:r>
              <w:rPr>
                <w:b/>
                <w:bCs/>
                <w:szCs w:val="24"/>
              </w:rPr>
              <w:t>1. Taikomi teisės aktai</w:t>
            </w:r>
          </w:p>
        </w:tc>
      </w:tr>
      <w:tr w:rsidR="00BB48CE" w14:paraId="05CDDB92" w14:textId="77777777">
        <w:tc>
          <w:tcPr>
            <w:tcW w:w="5000" w:type="pct"/>
          </w:tcPr>
          <w:p w14:paraId="32CA5D0B" w14:textId="77777777" w:rsidR="00BB48CE" w:rsidRDefault="00000000">
            <w:pPr>
              <w:tabs>
                <w:tab w:val="left" w:pos="420"/>
              </w:tabs>
              <w:jc w:val="both"/>
              <w:rPr>
                <w:lang w:eastAsia="lt-LT"/>
              </w:rPr>
            </w:pPr>
            <w:r>
              <w:rPr>
                <w:lang w:eastAsia="lt-LT"/>
              </w:rPr>
              <w:t>1.1. 2026–2029 m. Klimato kaitos programos investicijų planas, patvirtintas Lietuvos Respublikos Vyriausybės 2026 m. sausio 14 d. nutarimu Nr. 20 „Dėl 2026–2029 m. Klimato kaitos programos investicijų plano patvirtinimo“;</w:t>
            </w:r>
          </w:p>
          <w:p w14:paraId="18602EB0" w14:textId="77777777" w:rsidR="00BB48CE" w:rsidRDefault="00000000">
            <w:pPr>
              <w:tabs>
                <w:tab w:val="left" w:pos="420"/>
              </w:tabs>
              <w:jc w:val="both"/>
            </w:pPr>
            <w:r>
              <w:t xml:space="preserve">1.2. Teisės aktai, kuriais vadovaujamasi rengiant, teikiant ir vertinant projekto įgyvendinimo planą (toliau – PĮP), priimant sprendimą dėl projekto finansavimo, sudarant projekto sutartį ir įgyvendinant projektą, finansuojamą pagal 2022–2030 metų plėtros programos valdytojos Lietuvos Respublikos aplinkos ministerijos </w:t>
            </w:r>
            <w:r>
              <w:rPr>
                <w:lang w:eastAsia="lt-LT"/>
              </w:rPr>
              <w:t>aplinkos apsaugos ir klimato kaitos valdymo plėtros programos pažangos priemonės</w:t>
            </w:r>
            <w:r>
              <w:rPr>
                <w:caps/>
                <w:lang w:eastAsia="lt-LT"/>
              </w:rPr>
              <w:t> N</w:t>
            </w:r>
            <w:r>
              <w:rPr>
                <w:lang w:eastAsia="lt-LT"/>
              </w:rPr>
              <w:t>r</w:t>
            </w:r>
            <w:r>
              <w:rPr>
                <w:caps/>
                <w:lang w:eastAsia="lt-LT"/>
              </w:rPr>
              <w:t>. 02-001-06-04-02 „</w:t>
            </w:r>
            <w:r>
              <w:rPr>
                <w:lang w:eastAsia="lt-LT"/>
              </w:rPr>
              <w:t xml:space="preserve">Didinti klimato kaitos politikos veiksmingumą“ veiklos „Investicinė parama biometano gamybai ir (ar) biodujų išvalymui“ </w:t>
            </w:r>
            <w:r>
              <w:t>projektų finansavimo sąlygų aprašą (toliau – PFSA):</w:t>
            </w:r>
          </w:p>
          <w:p w14:paraId="3CEBD88D" w14:textId="77777777" w:rsidR="00BB48CE" w:rsidRDefault="00000000">
            <w:pPr>
              <w:tabs>
                <w:tab w:val="left" w:pos="420"/>
              </w:tabs>
              <w:jc w:val="both"/>
            </w:pPr>
            <w:r>
              <w:t>1.2.1. Lietuvos Respublikos energijos vartojimo efektyvumo didinimo įstatymas;</w:t>
            </w:r>
          </w:p>
          <w:p w14:paraId="3EDF5F0E" w14:textId="77777777" w:rsidR="00BB48CE" w:rsidRDefault="00000000">
            <w:pPr>
              <w:tabs>
                <w:tab w:val="left" w:pos="420"/>
              </w:tabs>
              <w:jc w:val="both"/>
            </w:pPr>
            <w:r>
              <w:t>1.2.2. Lietuvos Respublikos statybos įstatymas;</w:t>
            </w:r>
          </w:p>
          <w:p w14:paraId="1A4E8104" w14:textId="77777777" w:rsidR="00BB48CE" w:rsidRDefault="00000000">
            <w:pPr>
              <w:tabs>
                <w:tab w:val="left" w:pos="420"/>
              </w:tabs>
              <w:jc w:val="both"/>
            </w:pPr>
            <w:r>
              <w:lastRenderedPageBreak/>
              <w:t>1.2.3. Nacionalinė klimato kaitos valdymo darbotvarkė, patvirtinta Lietuvos Respublikos Seimo 2021 m. birželio 30 d. nutarimu Nr. XIV-490 „Dėl Nacionalinės klimato kaitos valdymo darbotvarkės patvirtinimo“;</w:t>
            </w:r>
          </w:p>
          <w:p w14:paraId="50B843A1" w14:textId="77777777" w:rsidR="00BB48CE" w:rsidRDefault="00000000">
            <w:pPr>
              <w:jc w:val="both"/>
              <w:rPr>
                <w:lang w:eastAsia="lt-LT"/>
              </w:rPr>
            </w:pPr>
            <w:r>
              <w:rPr>
                <w:lang w:eastAsia="lt-LT"/>
              </w:rPr>
              <w:t>1.2.4. Strateginio valdymo metodika, patvirtinta Lietuvos Respublikos Vyriausybės 2021 m. balandžio 28 d. nutarimu Nr. 292 „Dėl Strateginio valdymo metodikos patvirtinimo“;</w:t>
            </w:r>
          </w:p>
          <w:p w14:paraId="480754C6" w14:textId="77777777" w:rsidR="00BB48CE" w:rsidRDefault="00000000">
            <w:pPr>
              <w:jc w:val="both"/>
              <w:rPr>
                <w:lang w:eastAsia="lt-LT"/>
              </w:rPr>
            </w:pPr>
            <w:r>
              <w:rPr>
                <w:lang w:eastAsia="lt-LT"/>
              </w:rPr>
              <w:t>1.2.5. Projektų, finansuojamų valstybės biudžeto lėšomis, administravimo ir finansavimo taisyklės, patvirtintos Lietuvos Respublikos finansų ministro 2021 m. birželio 28 d. įsakymu Nr. 1K-227 „Dėl Strateginio valdymo metodikos taikymo“ (toliau – Projektų taisyklės);</w:t>
            </w:r>
          </w:p>
          <w:p w14:paraId="5C4C0F3D" w14:textId="77777777" w:rsidR="00BB48CE" w:rsidRDefault="00000000">
            <w:pPr>
              <w:tabs>
                <w:tab w:val="left" w:pos="420"/>
              </w:tabs>
              <w:jc w:val="both"/>
            </w:pPr>
            <w:r>
              <w:t xml:space="preserve">1.2.6. 2014 m. birželio 17 d. Komisijos reglamentas </w:t>
            </w:r>
            <w:hyperlink r:id="rId11" w:tgtFrame="_blank" w:history="1">
              <w:r>
                <w:rPr>
                  <w:color w:val="0563C1" w:themeColor="hyperlink"/>
                  <w:u w:val="single"/>
                </w:rPr>
                <w:t>(ES) Nr. 651/2014</w:t>
              </w:r>
            </w:hyperlink>
            <w:r>
              <w:t xml:space="preserve">, kuriuo tam tikrų kategorijų pagalba skelbiama suderinama su vidaus rinka taikant Sutarties 107 ir 108 straipsnius, su paskutiniais pakeitimais, padarytais 2023 m. birželio 23 d. Komisijos reglamentu </w:t>
            </w:r>
            <w:hyperlink r:id="rId12" w:tgtFrame="_blank" w:history="1">
              <w:r>
                <w:rPr>
                  <w:color w:val="0563C1" w:themeColor="hyperlink"/>
                  <w:u w:val="single"/>
                </w:rPr>
                <w:t>(ES) 2023/1315</w:t>
              </w:r>
            </w:hyperlink>
            <w:r>
              <w:t>;</w:t>
            </w:r>
          </w:p>
          <w:p w14:paraId="6CF172CC" w14:textId="77777777" w:rsidR="00BB48CE" w:rsidRDefault="00000000">
            <w:pPr>
              <w:spacing w:line="259" w:lineRule="auto"/>
              <w:jc w:val="both"/>
              <w:rPr>
                <w:i/>
                <w:iCs/>
                <w:szCs w:val="24"/>
              </w:rPr>
            </w:pPr>
            <w:r>
              <w:t>1.3. PFSA vartojamos sąvokos suprantamos taip, kaip jos apibrėžiamos 1.2 papunktyje nurodytuose teisės aktuose.</w:t>
            </w:r>
          </w:p>
        </w:tc>
      </w:tr>
      <w:tr w:rsidR="00BB48CE" w14:paraId="0959B536" w14:textId="77777777">
        <w:tc>
          <w:tcPr>
            <w:tcW w:w="5000" w:type="pct"/>
          </w:tcPr>
          <w:p w14:paraId="456D3366" w14:textId="77777777" w:rsidR="00BB48CE" w:rsidRDefault="00000000">
            <w:pPr>
              <w:rPr>
                <w:b/>
                <w:szCs w:val="24"/>
              </w:rPr>
            </w:pPr>
            <w:r>
              <w:rPr>
                <w:b/>
                <w:szCs w:val="24"/>
              </w:rPr>
              <w:t xml:space="preserve">2. Reikalavimai projektams, pareiškėjams ir partneriams </w:t>
            </w:r>
          </w:p>
        </w:tc>
      </w:tr>
      <w:tr w:rsidR="00BB48CE" w14:paraId="156C46A8" w14:textId="77777777">
        <w:tc>
          <w:tcPr>
            <w:tcW w:w="5000" w:type="pct"/>
          </w:tcPr>
          <w:p w14:paraId="51899456" w14:textId="77777777" w:rsidR="00BB48CE" w:rsidRDefault="00000000">
            <w:pPr>
              <w:jc w:val="both"/>
              <w:rPr>
                <w:szCs w:val="24"/>
              </w:rPr>
            </w:pPr>
            <w:r>
              <w:rPr>
                <w:szCs w:val="24"/>
              </w:rPr>
              <w:t xml:space="preserve">2.1. Pagal PFSA finansuojama veikla ‒ biometano gamyba ir (ar) biodujų išvalymas. </w:t>
            </w:r>
          </w:p>
          <w:p w14:paraId="260C782B" w14:textId="77777777" w:rsidR="00BB48CE" w:rsidRDefault="00000000">
            <w:pPr>
              <w:jc w:val="both"/>
              <w:rPr>
                <w:szCs w:val="24"/>
              </w:rPr>
            </w:pPr>
            <w:r>
              <w:rPr>
                <w:szCs w:val="24"/>
              </w:rPr>
              <w:t>2.2. Pagal PFSA tinkami pareiškėjai:</w:t>
            </w:r>
          </w:p>
          <w:p w14:paraId="476AC3B1" w14:textId="77777777" w:rsidR="00BB48CE" w:rsidRDefault="00000000">
            <w:pPr>
              <w:jc w:val="both"/>
              <w:rPr>
                <w:szCs w:val="24"/>
              </w:rPr>
            </w:pPr>
            <w:r>
              <w:rPr>
                <w:szCs w:val="24"/>
              </w:rPr>
              <w:t>2.2.1. juridinis asmuo – didelė, vidutinė, maža ar labai maža įmonė, mokėjimo prašymo teikimo metu turinti įsisteigimo ar įregistravimo vietą pagalbą teikiančioje valstybėje narėje;</w:t>
            </w:r>
          </w:p>
          <w:p w14:paraId="65E22E5F" w14:textId="77777777" w:rsidR="00BB48CE" w:rsidRDefault="00000000">
            <w:pPr>
              <w:jc w:val="both"/>
            </w:pPr>
            <w:r>
              <w:t>2.2.2. žemės ūkio veiklą vykdantys subjektai.</w:t>
            </w:r>
          </w:p>
          <w:p w14:paraId="3119E0E2" w14:textId="77777777" w:rsidR="00BB48CE" w:rsidRDefault="00000000">
            <w:pPr>
              <w:tabs>
                <w:tab w:val="left" w:pos="447"/>
              </w:tabs>
              <w:jc w:val="both"/>
              <w:rPr>
                <w:color w:val="000000"/>
                <w:szCs w:val="24"/>
                <w:lang w:eastAsia="lt-LT"/>
              </w:rPr>
            </w:pPr>
            <w:r>
              <w:rPr>
                <w:color w:val="000000"/>
                <w:szCs w:val="24"/>
                <w:lang w:eastAsia="lt-LT"/>
              </w:rPr>
              <w:t xml:space="preserve">2.3. Projektų atranką vykdo ir įgyvendinimą administruoja </w:t>
            </w:r>
            <w:r>
              <w:rPr>
                <w:color w:val="000000"/>
                <w:szCs w:val="24"/>
                <w:lang w:eastAsia="zh-CN"/>
              </w:rPr>
              <w:t>Lietuvos Respublikos Aplinkos ministerijos Aplinkos projektų valdymo agentūra (toliau – Agentūra).</w:t>
            </w:r>
          </w:p>
          <w:p w14:paraId="48D506EF" w14:textId="77777777" w:rsidR="00BB48CE" w:rsidRDefault="00000000">
            <w:pPr>
              <w:jc w:val="both"/>
              <w:rPr>
                <w:color w:val="000000"/>
                <w:szCs w:val="24"/>
                <w:lang w:eastAsia="lt-LT"/>
              </w:rPr>
            </w:pPr>
            <w:r>
              <w:rPr>
                <w:szCs w:val="24"/>
              </w:rPr>
              <w:t xml:space="preserve">2.4. </w:t>
            </w:r>
            <w:r>
              <w:rPr>
                <w:color w:val="000000"/>
                <w:szCs w:val="24"/>
                <w:lang w:eastAsia="zh-CN"/>
              </w:rPr>
              <w:t xml:space="preserve">Pareiškėjas </w:t>
            </w:r>
            <w:r>
              <w:rPr>
                <w:szCs w:val="24"/>
              </w:rPr>
              <w:t xml:space="preserve">mokėjimo prašymo </w:t>
            </w:r>
            <w:r>
              <w:rPr>
                <w:color w:val="000000"/>
                <w:szCs w:val="24"/>
                <w:lang w:eastAsia="zh-CN"/>
              </w:rPr>
              <w:t xml:space="preserve">teikimo Agentūrai metu </w:t>
            </w:r>
            <w:r>
              <w:rPr>
                <w:szCs w:val="24"/>
                <w:lang w:eastAsia="zh-CN"/>
              </w:rPr>
              <w:t xml:space="preserve">turi turėti </w:t>
            </w:r>
            <w:r>
              <w:rPr>
                <w:color w:val="000000"/>
                <w:szCs w:val="24"/>
                <w:lang w:eastAsia="lt-LT"/>
              </w:rPr>
              <w:t>įsisteigimo ar įregistravimo vietą Lietuvos Respublikos teritorijoje.</w:t>
            </w:r>
          </w:p>
          <w:p w14:paraId="2F77C795" w14:textId="77777777" w:rsidR="00BB48CE" w:rsidRDefault="00000000">
            <w:pPr>
              <w:tabs>
                <w:tab w:val="left" w:pos="447"/>
              </w:tabs>
              <w:jc w:val="both"/>
              <w:rPr>
                <w:color w:val="000000"/>
                <w:szCs w:val="24"/>
                <w:lang w:eastAsia="lt-LT"/>
              </w:rPr>
            </w:pPr>
            <w:r>
              <w:rPr>
                <w:color w:val="000000"/>
                <w:szCs w:val="24"/>
                <w:lang w:eastAsia="lt-LT"/>
              </w:rPr>
              <w:t xml:space="preserve">2.5. Vienas pareiškėjas (vertinamas </w:t>
            </w:r>
            <w:r>
              <w:rPr>
                <w:color w:val="000000"/>
                <w:szCs w:val="24"/>
                <w:lang w:eastAsia="zh-CN"/>
              </w:rPr>
              <w:t>projekto įgyvendinimo planą (toliau – PĮP)</w:t>
            </w:r>
            <w:r>
              <w:rPr>
                <w:color w:val="000000"/>
                <w:szCs w:val="24"/>
                <w:lang w:eastAsia="lt-LT"/>
              </w:rPr>
              <w:t xml:space="preserve"> teikiantis juridinis asmuo) vieno kvietimo teikti PĮP metu gali pateikti tik vieną PĮP per </w:t>
            </w:r>
            <w:r>
              <w:rPr>
                <w:color w:val="000000"/>
                <w:szCs w:val="24"/>
                <w:lang w:eastAsia="zh-CN"/>
              </w:rPr>
              <w:t>Lietuvos Respublikos Aplinkos ministerijos Aplinkos projektų valdymo agentūros</w:t>
            </w:r>
            <w:r>
              <w:rPr>
                <w:color w:val="000000"/>
                <w:szCs w:val="24"/>
                <w:lang w:eastAsia="lt-LT"/>
              </w:rPr>
              <w:t xml:space="preserve"> informacinę sistemą (toliau – APVIS) (https://apvis.apva.lt). </w:t>
            </w:r>
            <w:r>
              <w:t xml:space="preserve">Projektai negali būti skaidomi į atskiras dalis. </w:t>
            </w:r>
            <w:r>
              <w:rPr>
                <w:color w:val="000000"/>
                <w:szCs w:val="24"/>
                <w:lang w:eastAsia="lt-LT"/>
              </w:rPr>
              <w:t>PĮP rengiamas pagal Agentūros paskelbtą kvietimo formą.</w:t>
            </w:r>
          </w:p>
          <w:p w14:paraId="213060EB" w14:textId="77777777" w:rsidR="00BB48CE" w:rsidRDefault="00000000">
            <w:pPr>
              <w:jc w:val="both"/>
              <w:rPr>
                <w:szCs w:val="24"/>
              </w:rPr>
            </w:pPr>
            <w:r>
              <w:rPr>
                <w:color w:val="000000"/>
                <w:szCs w:val="24"/>
                <w:lang w:eastAsia="lt-LT"/>
              </w:rPr>
              <w:t>2.6. Projektų atranką Agentūra atlieka konkurso būdu (PĮP Agentūrai teikiami 120 kalendorinių dienų nuo kvietimo paskelbimo dienos) pagal PFSA 9 punkte</w:t>
            </w:r>
            <w:r>
              <w:rPr>
                <w:b/>
                <w:szCs w:val="24"/>
              </w:rPr>
              <w:t xml:space="preserve"> </w:t>
            </w:r>
            <w:r>
              <w:rPr>
                <w:color w:val="000000"/>
                <w:szCs w:val="24"/>
                <w:lang w:eastAsia="lt-LT"/>
              </w:rPr>
              <w:t xml:space="preserve">nustatytus projektų atrankos kriterijus. Projektams įgyvendinti skirta 16 mln. eurų Klimato kaitos programos lėšų. </w:t>
            </w:r>
            <w:r>
              <w:rPr>
                <w:szCs w:val="24"/>
              </w:rPr>
              <w:t>PĮP nurodyti duomenys, jei nėra Agentūros leidimo, po PĮP pateikimo dienos negali būti tikslinami.</w:t>
            </w:r>
          </w:p>
          <w:p w14:paraId="5802DD47" w14:textId="77777777" w:rsidR="00BB48CE" w:rsidRDefault="00000000">
            <w:pPr>
              <w:jc w:val="both"/>
              <w:rPr>
                <w:color w:val="000000"/>
                <w:szCs w:val="24"/>
                <w:lang w:eastAsia="lt-LT"/>
              </w:rPr>
            </w:pPr>
            <w:r>
              <w:rPr>
                <w:color w:val="000000"/>
                <w:szCs w:val="24"/>
                <w:lang w:eastAsia="lt-LT"/>
              </w:rPr>
              <w:t>2.7. Pareiškėjas nėra bankrutavęs, bankrutuojantis, likviduojamas ir (arba) restruktūrizuojamas, neturi mokestinės nepriemokos valstybės ir (arba) savivaldybės biudžetui arba kitiems valstybės fondams (išskyrus atvejus, kai mokesčių, delspinigių, baudų mokėjimas atidėtas Lietuvos Respublikos teisės aktų nustatyta tvarka).</w:t>
            </w:r>
          </w:p>
          <w:p w14:paraId="00EFD8B2" w14:textId="77777777" w:rsidR="00BB48CE" w:rsidRDefault="00000000">
            <w:pPr>
              <w:jc w:val="both"/>
              <w:rPr>
                <w:color w:val="000000"/>
                <w:lang w:eastAsia="zh-CN"/>
              </w:rPr>
            </w:pPr>
            <w:r>
              <w:t>2.8</w:t>
            </w:r>
            <w:r>
              <w:rPr>
                <w:szCs w:val="24"/>
              </w:rPr>
              <w:t xml:space="preserve">. </w:t>
            </w:r>
            <w:r>
              <w:t>Dotacija</w:t>
            </w:r>
            <w:r>
              <w:rPr>
                <w:color w:val="000000"/>
                <w:lang w:eastAsia="zh-CN"/>
              </w:rPr>
              <w:t xml:space="preserve"> nerezervuojama ir neteikiama, jei pareiškėjas yra gavęs paramą PĮP nurodytam projektui pagal Klimato kaitos programos priemones,</w:t>
            </w:r>
            <w:r>
              <w:rPr>
                <w:lang w:eastAsia="zh-CN"/>
              </w:rPr>
              <w:t xml:space="preserve"> </w:t>
            </w:r>
            <w:r>
              <w:rPr>
                <w:shd w:val="clear" w:color="auto" w:fill="FFFFFF"/>
                <w:lang w:eastAsia="zh-CN"/>
              </w:rPr>
              <w:t>Ekonomikos gaivinimo ir atsparumo didinimo priemonę</w:t>
            </w:r>
            <w:r>
              <w:rPr>
                <w:lang w:eastAsia="zh-CN"/>
              </w:rPr>
              <w:t xml:space="preserve"> </w:t>
            </w:r>
            <w:r>
              <w:rPr>
                <w:color w:val="000000"/>
                <w:lang w:eastAsia="zh-CN"/>
              </w:rPr>
              <w:t xml:space="preserve">„Biometano dujų gamybos pajėgumų didinimas“, Lietuvos kaimo plėtros 2014–2020 metų programos priemonės „Ūkio ir verslo plėtra“ veiklą „Parama biodujų gamybai iš žemės ūkio ir kitų atliekų“, </w:t>
            </w:r>
            <w:r>
              <w:rPr>
                <w:lang w:eastAsia="zh-CN"/>
              </w:rPr>
              <w:t>Lietuvos žemės ūkio ir kaimo plėtros 2023–2027 metų strateginio plano intervencinę priemonę „Tvarios investicijos į žemės ūkio valdas“</w:t>
            </w:r>
            <w:r>
              <w:rPr>
                <w:color w:val="000000"/>
                <w:lang w:eastAsia="zh-CN"/>
              </w:rPr>
              <w:t xml:space="preserve"> toms pačioms išlaidoms finansuoti arba ši parama jam rezervuota. Pareiškėjas, teikdamas PĮP, patvirtina, kad nėra gavęs ar rezervavęs finansinės paramos PĮP nurodytam projektui iš Klimato kaitos programos ar kitų finansavimo šaltinių toms pačioms tinkamoms išlaidoms finansuoti. Parama projektui įgyvendinti yra vienkartinė. Pareiškėjas neturi teisės kreiptis į Agentūrą prašydamas paramos toms pačioms projekto išlaidoms finansuoti, jeigu jau yra gavęs ar rezervavęs paramą iš kitų finansavimo šaltinių.</w:t>
            </w:r>
          </w:p>
          <w:p w14:paraId="0C58C75C" w14:textId="77777777" w:rsidR="00BB48CE" w:rsidRDefault="00000000">
            <w:pPr>
              <w:jc w:val="both"/>
              <w:rPr>
                <w:szCs w:val="24"/>
              </w:rPr>
            </w:pPr>
            <w:r>
              <w:rPr>
                <w:szCs w:val="24"/>
              </w:rPr>
              <w:t>2.9. Projektas turi būti įgyvendinamas Lietuvos Respublikos teritorijoje.</w:t>
            </w:r>
          </w:p>
          <w:p w14:paraId="44E4CBB8" w14:textId="77777777" w:rsidR="00BB48CE" w:rsidRDefault="00000000">
            <w:pPr>
              <w:jc w:val="both"/>
              <w:rPr>
                <w:szCs w:val="24"/>
              </w:rPr>
            </w:pPr>
            <w:r>
              <w:rPr>
                <w:szCs w:val="24"/>
              </w:rPr>
              <w:t xml:space="preserve">2.10. Pagal PFSA finansavimas nėra skiriamas pareiškėjui, kuriam taikomos tarptautinės sankcijos, taip pat tais atvejais, kai jo arba su juo susijusių įmonių veikloje, veiksmuose ar sandoriuose dalyvauja subjektai, kuriems yra taikomos tarptautinės sankcijos, ir kai tokia veikla, veiksmai ar sandoriai yra draudžiami arba prieštarauja Lietuvos Respublikoje įgyvendinamoms tarptautinėms </w:t>
            </w:r>
            <w:r>
              <w:rPr>
                <w:szCs w:val="24"/>
              </w:rPr>
              <w:lastRenderedPageBreak/>
              <w:t>sankcijoms, vadovaujantis Lietuvos Respublikos tarptautinių sankcijų įstatymo 7 straipsniu. Finansavimas taip pat neskiriamas, jei veikloje, veiksmuose ar sandoriuose dalyvauja užsieniečiai, įtraukti į viešąjį sąrašą asmenų, kuriems draudžiama atvykti į Lietuvos Respubliką. Informacija skelbiama Migracijos departamento prie Lietuvos Respublikos vidaus reikalų ministerijos interneto svetainėje www.migracija.lt.</w:t>
            </w:r>
          </w:p>
          <w:p w14:paraId="18683923" w14:textId="77777777" w:rsidR="00BB48CE" w:rsidRDefault="00000000">
            <w:pPr>
              <w:jc w:val="both"/>
              <w:rPr>
                <w:szCs w:val="24"/>
              </w:rPr>
            </w:pPr>
            <w:r>
              <w:rPr>
                <w:szCs w:val="24"/>
              </w:rPr>
              <w:t>2.11. Dokumentus, įrodančius pareiškėjų atitiktį keliamiems reikalavimams, Agentūra gali patikrinti naudodamasi prieinamomis duomenų bazėmis ir registrais. Jeigu tokiai patikrai atlikti Agentūros funkcinių galimybių nepakanka ir (ar) jos laikinai neužtikrinamos, pareiškėjas Agentūros prašymu privalo pateikti atitiktį įrodančius dokumentus.</w:t>
            </w:r>
          </w:p>
          <w:p w14:paraId="7164A311" w14:textId="77777777" w:rsidR="00BB48CE" w:rsidRDefault="00000000">
            <w:pPr>
              <w:jc w:val="both"/>
              <w:rPr>
                <w:szCs w:val="24"/>
              </w:rPr>
            </w:pPr>
            <w:r>
              <w:rPr>
                <w:color w:val="000000"/>
                <w:szCs w:val="24"/>
                <w:lang w:eastAsia="lt-LT"/>
              </w:rPr>
              <w:t>2.12. Projekte partneriai negalimi.</w:t>
            </w:r>
          </w:p>
          <w:p w14:paraId="3CD0BB96" w14:textId="77777777" w:rsidR="00BB48CE" w:rsidRDefault="00000000">
            <w:pPr>
              <w:jc w:val="both"/>
              <w:rPr>
                <w:color w:val="000000"/>
                <w:szCs w:val="24"/>
                <w:lang w:eastAsia="lt-LT"/>
              </w:rPr>
            </w:pPr>
            <w:r>
              <w:rPr>
                <w:color w:val="000000"/>
                <w:szCs w:val="24"/>
                <w:lang w:eastAsia="lt-LT"/>
              </w:rPr>
              <w:t>2.13. Biometano dujų gamybai turi būti naudojamos žaliavos, nurodytos Atsinaujinančių energijos išteklių dalies, palyginti su bendruoju galutiniu energijos suvartojimu, apskaičiavimo metodikos, patvirtintos Lietuvos Respublikos energetikos ministro 2017 m. birželio 28 d. įsakymo Nr. 1-170 „Dėl Atsinaujinančių energijos išteklių dalies, palyginti su bendruoju galutiniu energijos suvartojimu, apskaičiavimo metodikos patvirtinimo“, 17 ir 18 punktuose. Nuotekų šlamas biodujų gamybai gali būti naudojamas tik tuo atveju, jeigu biodujos yra gaminamos anaerobinio skaidymo (fermentacijos) būdu.</w:t>
            </w:r>
          </w:p>
          <w:p w14:paraId="2EB93F70" w14:textId="77777777" w:rsidR="00BB48CE" w:rsidRDefault="00000000">
            <w:pPr>
              <w:jc w:val="both"/>
              <w:rPr>
                <w:color w:val="000000"/>
                <w:lang w:eastAsia="lt-LT"/>
              </w:rPr>
            </w:pPr>
            <w:r>
              <w:rPr>
                <w:lang w:eastAsia="lt-LT"/>
              </w:rPr>
              <w:t xml:space="preserve">2.14. </w:t>
            </w:r>
            <w:r>
              <w:t>Iki galutinio mokėjimo prašymo pateikimo Agentūrai dienos privaloma būti sertifikuotam</w:t>
            </w:r>
            <w:r>
              <w:rPr>
                <w:lang w:eastAsia="lt-LT"/>
              </w:rPr>
              <w:t xml:space="preserve"> </w:t>
            </w:r>
            <w:r>
              <w:rPr>
                <w:color w:val="000000"/>
                <w:lang w:eastAsia="lt-LT"/>
              </w:rPr>
              <w:t>pagal vieną iš Europos Komisijos patvirtintų nepriklausomų sertifikavimo schemų ir esant poreikiui įrodyti gaminamų biometano dujų atitiktį biomasės kuro tvarumo ir išmetamųjų šiltnamio efektą sukeliančių dujų sumažėjimo kriterijams, įtvirtintiems Lietuvos Respublikos atsinaujinančių išteklių energetikos įstatymo 39</w:t>
            </w:r>
            <w:r>
              <w:rPr>
                <w:color w:val="000000"/>
                <w:vertAlign w:val="superscript"/>
                <w:lang w:eastAsia="lt-LT"/>
              </w:rPr>
              <w:t>3</w:t>
            </w:r>
            <w:r>
              <w:rPr>
                <w:color w:val="000000"/>
                <w:lang w:eastAsia="lt-LT"/>
              </w:rPr>
              <w:t xml:space="preserve"> straipsnyje. </w:t>
            </w:r>
            <w:r>
              <w:rPr>
                <w:szCs w:val="24"/>
              </w:rPr>
              <w:t>Sertifikavimas turi būti atliktas pagal vieną iš Europos Komisijos patvirtintų nepriklausomų sertifikavimo schemų.</w:t>
            </w:r>
          </w:p>
          <w:p w14:paraId="13C36C47" w14:textId="77777777" w:rsidR="00BB48CE" w:rsidRDefault="00000000">
            <w:pPr>
              <w:tabs>
                <w:tab w:val="left" w:pos="447"/>
                <w:tab w:val="left" w:pos="600"/>
              </w:tabs>
              <w:jc w:val="both"/>
              <w:rPr>
                <w:color w:val="000000"/>
                <w:szCs w:val="24"/>
                <w:lang w:eastAsia="lt-LT"/>
              </w:rPr>
            </w:pPr>
            <w:r>
              <w:rPr>
                <w:szCs w:val="24"/>
                <w:lang w:eastAsia="lt-LT"/>
              </w:rPr>
              <w:t>2.14.</w:t>
            </w:r>
            <w:r>
              <w:rPr>
                <w:szCs w:val="24"/>
                <w:lang w:eastAsia="lt-LT"/>
              </w:rPr>
              <w:tab/>
            </w:r>
            <w:r>
              <w:rPr>
                <w:color w:val="000000"/>
                <w:szCs w:val="24"/>
                <w:lang w:eastAsia="lt-LT"/>
              </w:rPr>
              <w:t>Pareiškėjas turi užtikrinti, kad biodujų gamybos atveju degazuotojo substrato saugykla uždengiama dujoms nepralaidžiu dangčiu.</w:t>
            </w:r>
          </w:p>
          <w:p w14:paraId="4B1DA94C" w14:textId="77777777" w:rsidR="00BB48CE" w:rsidRDefault="00000000">
            <w:pPr>
              <w:jc w:val="both"/>
            </w:pPr>
            <w:r>
              <w:t>2.15. Maksimalus dotacijos dydis vienam pareiškėjui:</w:t>
            </w:r>
          </w:p>
          <w:p w14:paraId="4BF4A9B7" w14:textId="77777777" w:rsidR="00BB48CE" w:rsidRDefault="00000000">
            <w:pPr>
              <w:jc w:val="both"/>
            </w:pPr>
            <w:r>
              <w:t>2.15.1. 4 mln. eurų, kai statomi nauji biodujų gamybos įrenginiai kartu su biometano gamybos įrenginiais;</w:t>
            </w:r>
          </w:p>
          <w:p w14:paraId="041FBAE9" w14:textId="77777777" w:rsidR="00BB48CE" w:rsidRDefault="00000000">
            <w:pPr>
              <w:jc w:val="both"/>
              <w:rPr>
                <w:szCs w:val="24"/>
              </w:rPr>
            </w:pPr>
            <w:r>
              <w:rPr>
                <w:szCs w:val="24"/>
              </w:rPr>
              <w:t>2.15.2. 1,7 mln. eurų, kai įgyvendinama biometano dujų gamybos įrenginių plėtra, įrengiant biodujų valymo įrenginius prie jau esamų arba statomų biodujų gamybos įrenginių.</w:t>
            </w:r>
          </w:p>
          <w:p w14:paraId="50521F8F" w14:textId="77777777" w:rsidR="00BB48CE" w:rsidRDefault="00000000">
            <w:pPr>
              <w:jc w:val="both"/>
              <w:rPr>
                <w:szCs w:val="24"/>
              </w:rPr>
            </w:pPr>
            <w:r>
              <w:rPr>
                <w:color w:val="000000"/>
                <w:szCs w:val="24"/>
                <w:lang w:eastAsia="lt-LT"/>
              </w:rPr>
              <w:t>2.16. Projekto trukmės reikalavimai:</w:t>
            </w:r>
          </w:p>
          <w:p w14:paraId="7991A383" w14:textId="77777777" w:rsidR="00BB48CE" w:rsidRDefault="00000000">
            <w:pPr>
              <w:jc w:val="both"/>
              <w:rPr>
                <w:color w:val="000000"/>
                <w:lang w:eastAsia="lt-LT"/>
              </w:rPr>
            </w:pPr>
            <w:r>
              <w:rPr>
                <w:color w:val="000000"/>
                <w:lang w:eastAsia="lt-LT"/>
              </w:rPr>
              <w:t xml:space="preserve">2.16.1. Projekto įgyvendinimo laikotarpis turi būti ne ilgesnis kaip 36 mėnesiai. Agentūra gali jį pratęsti neviršydama pusės nustatyto projekto įgyvendinimo laikotarpio dėl nuo pareiškėjo nepriklausančių objektyvių priežasčių, kurių jis negalėjo numatyti pateikdamas PĮP. Prašymą pratęsti projekto įgyvendinimo laikotarpį projekto vykdytojas pateikia </w:t>
            </w:r>
            <w:r>
              <w:rPr>
                <w:szCs w:val="24"/>
              </w:rPr>
              <w:t xml:space="preserve">likus ne mažiau kaip 3 mėnesiams iki projekto finansavimo sutarties pabaigos. Jei prašymas pratęsti projekto finansavimo sutartį pateikiamas likus mažiau kaip 3 mėnesiams iki termino pabaigos, projekto įgyvendinimo laikotarpis nepratęsiamas. </w:t>
            </w:r>
            <w:r>
              <w:rPr>
                <w:color w:val="000000"/>
                <w:lang w:eastAsia="lt-LT"/>
              </w:rPr>
              <w:t>Priėmusi sprendimą dėl projekto įgyvendinimo laikotarpio pratęsimo, Agentūra apie priimtą sprendimą per 10 darbo dienų informuoja pareiškėją per APVIS. Projekto įgyvendinimo terminas nepratęsiamas, jeigu per projektui įgyvendinti skirtą laiką, nurodytą šiame papunktyje, projekto vykdytojas projekto veiklų (pirkimai, projektavimas, nuosavo indėlio užtikrinimas pasirašant sutartį su finansų įstaiga) nepradėjo ir, Agentūros vertinimu, matomos kitos rizikos, kad, net pratęsus projektą, jis nebus įgyvendintas laiku.</w:t>
            </w:r>
          </w:p>
          <w:p w14:paraId="633ACE60" w14:textId="77777777" w:rsidR="00BB48CE" w:rsidRDefault="00000000">
            <w:pPr>
              <w:jc w:val="both"/>
              <w:rPr>
                <w:color w:val="000000"/>
                <w:lang w:eastAsia="lt-LT"/>
              </w:rPr>
            </w:pPr>
            <w:r>
              <w:rPr>
                <w:color w:val="000000"/>
                <w:lang w:eastAsia="lt-LT"/>
              </w:rPr>
              <w:t>2.16.2. Per 18 mėnesių nuo projekto finansavimo sutarties tarp pareiškėjo ir Agentūros pasirašymo dienos pareiškėjas turi Agentūrai pateikti su įrangos tiekėju ar tiekėjais pasirašytą sutartį. Agentūra gali šį laikotarpį pratęsti 2 mėnesiams dėl nuo pareiškėjo nepriklausančių objektyvių priežasčių. Prašymą pratęsti šiame punkte nurodytą terminą pareiškėjas Agentūrai teikia per APVIS.</w:t>
            </w:r>
          </w:p>
          <w:p w14:paraId="620C2764" w14:textId="77777777" w:rsidR="00BB48CE" w:rsidRDefault="00000000">
            <w:pPr>
              <w:jc w:val="both"/>
              <w:rPr>
                <w:lang w:eastAsia="lt-LT"/>
              </w:rPr>
            </w:pPr>
            <w:r>
              <w:rPr>
                <w:lang w:eastAsia="lt-LT"/>
              </w:rPr>
              <w:t>2.16.3. Bendras projekto įgyvendinimo laikotarpis, įskaitant projekto įgyvendinimo termino pratęsimą, vadovaujantis PFSA 2.16.1. papunkčiu, negali būti ilgesnis kaip 54 mėnesiai. Projekto tinkamomis finansuoti išlaidomis laikomos tik išlaidos, patirtos projekto įgyvendinimo laikotarpiu nuo PĮP pateikimo Agentūrai dienos.</w:t>
            </w:r>
          </w:p>
          <w:p w14:paraId="07502476" w14:textId="77777777" w:rsidR="00BB48CE" w:rsidRDefault="00000000">
            <w:pPr>
              <w:jc w:val="both"/>
              <w:rPr>
                <w:szCs w:val="24"/>
              </w:rPr>
            </w:pPr>
            <w:r>
              <w:rPr>
                <w:szCs w:val="24"/>
              </w:rPr>
              <w:lastRenderedPageBreak/>
              <w:t>2.17. Su PĮP (arba PĮP, jei tokia informacija privaloma pildant PĮP formą APVIS) privaloma pateikti:</w:t>
            </w:r>
          </w:p>
          <w:p w14:paraId="28938362" w14:textId="77777777" w:rsidR="00BB48CE" w:rsidRDefault="00000000">
            <w:pPr>
              <w:jc w:val="both"/>
            </w:pPr>
            <w:r>
              <w:t>2.17.1. duomenis apie biometano gamybos pajėgumus (m</w:t>
            </w:r>
            <w:r>
              <w:rPr>
                <w:vertAlign w:val="superscript"/>
              </w:rPr>
              <w:t>3</w:t>
            </w:r>
            <w:r>
              <w:t>/val.), planuojamą pagaminti metinį biometano kiekį (m</w:t>
            </w:r>
            <w:r>
              <w:rPr>
                <w:vertAlign w:val="superscript"/>
              </w:rPr>
              <w:t>3</w:t>
            </w:r>
            <w:r>
              <w:t>/metus):</w:t>
            </w:r>
          </w:p>
          <w:p w14:paraId="3E240923" w14:textId="77777777" w:rsidR="00BB48CE" w:rsidRDefault="00000000">
            <w:pPr>
              <w:jc w:val="both"/>
            </w:pPr>
            <w:r>
              <w:t>2.17.1.1. diegiant biodujų kartu su biometano gamybos įrenginius arba tik biometano gamybos (valymo) įrenginius, biometano kiekį, apskaičiuotą pagal formulę:</w:t>
            </w:r>
          </w:p>
          <w:p w14:paraId="077F68F2" w14:textId="77777777" w:rsidR="00BB48CE" w:rsidRDefault="00000000">
            <w:pPr>
              <w:jc w:val="center"/>
              <w:rPr>
                <w:szCs w:val="24"/>
              </w:rPr>
            </w:pPr>
            <w:r>
              <w:rPr>
                <w:szCs w:val="24"/>
              </w:rPr>
              <w:t>BM = BP × 8000 – BM</w:t>
            </w:r>
            <w:r>
              <w:rPr>
                <w:szCs w:val="24"/>
                <w:vertAlign w:val="subscript"/>
              </w:rPr>
              <w:t>techn</w:t>
            </w:r>
            <w:r>
              <w:rPr>
                <w:szCs w:val="24"/>
              </w:rPr>
              <w:t xml:space="preserve">; </w:t>
            </w:r>
          </w:p>
          <w:p w14:paraId="3DE9CE9A" w14:textId="77777777" w:rsidR="00BB48CE" w:rsidRDefault="00000000">
            <w:pPr>
              <w:rPr>
                <w:szCs w:val="24"/>
              </w:rPr>
            </w:pPr>
            <w:r>
              <w:rPr>
                <w:szCs w:val="24"/>
              </w:rPr>
              <w:t>Čia:</w:t>
            </w:r>
          </w:p>
          <w:p w14:paraId="4DA7B6BF" w14:textId="77777777" w:rsidR="00BB48CE" w:rsidRDefault="00000000">
            <w:pPr>
              <w:jc w:val="both"/>
            </w:pPr>
            <w:r>
              <w:t>BM – planuojamas pagaminti metinis biometano kiekis (m</w:t>
            </w:r>
            <w:r>
              <w:rPr>
                <w:vertAlign w:val="superscript"/>
              </w:rPr>
              <w:t>3</w:t>
            </w:r>
            <w:r>
              <w:t>/metus),</w:t>
            </w:r>
          </w:p>
          <w:p w14:paraId="361A9E32" w14:textId="77777777" w:rsidR="00BB48CE" w:rsidRDefault="00000000">
            <w:pPr>
              <w:jc w:val="both"/>
              <w:rPr>
                <w:szCs w:val="24"/>
              </w:rPr>
            </w:pPr>
            <w:r>
              <w:rPr>
                <w:szCs w:val="24"/>
              </w:rPr>
              <w:t>BP – biometano gamybos įrenginių pajėgumai (m</w:t>
            </w:r>
            <w:r>
              <w:rPr>
                <w:szCs w:val="24"/>
                <w:vertAlign w:val="superscript"/>
              </w:rPr>
              <w:t>3</w:t>
            </w:r>
            <w:r>
              <w:rPr>
                <w:szCs w:val="24"/>
              </w:rPr>
              <w:t>/val.),</w:t>
            </w:r>
          </w:p>
          <w:p w14:paraId="3633B1B7" w14:textId="77777777" w:rsidR="00BB48CE" w:rsidRDefault="00000000">
            <w:pPr>
              <w:jc w:val="both"/>
              <w:rPr>
                <w:szCs w:val="24"/>
              </w:rPr>
            </w:pPr>
            <w:r>
              <w:rPr>
                <w:szCs w:val="24"/>
              </w:rPr>
              <w:t>8000 – vidutinis metinis biodujų ir biometano gamybos įrenginių valandų skaičius, val.,</w:t>
            </w:r>
          </w:p>
          <w:p w14:paraId="7835933E" w14:textId="77777777" w:rsidR="00BB48CE" w:rsidRDefault="00000000">
            <w:pPr>
              <w:jc w:val="both"/>
            </w:pPr>
            <w:r>
              <w:t>BM</w:t>
            </w:r>
            <w:r>
              <w:rPr>
                <w:vertAlign w:val="subscript"/>
              </w:rPr>
              <w:t>techn</w:t>
            </w:r>
            <w:r>
              <w:t> – metinės biometano sąnaudos technologinėms reikmėms užtikrinti (pvz., elektros ir (ar) šilumos energijai pagaminti) m</w:t>
            </w:r>
            <w:r>
              <w:rPr>
                <w:vertAlign w:val="superscript"/>
              </w:rPr>
              <w:t>3</w:t>
            </w:r>
            <w:r>
              <w:t>/metus;</w:t>
            </w:r>
          </w:p>
          <w:p w14:paraId="3A5EA297" w14:textId="77777777" w:rsidR="00BB48CE" w:rsidRDefault="00000000">
            <w:pPr>
              <w:jc w:val="both"/>
            </w:pPr>
            <w:r>
              <w:t>2.17.1.2. kai pareiškėjas planuoja pagaminti mažesnį biometano kiekį už apskaičiuojamą pagal PFSA 2.17.1.1 papunktyje nurodytas prielaidas ir formules, PĮP nurodo kitą tikslesnį (mažesnį) biometano kiekį m</w:t>
            </w:r>
            <w:r>
              <w:rPr>
                <w:vertAlign w:val="superscript"/>
              </w:rPr>
              <w:t>3</w:t>
            </w:r>
            <w:r>
              <w:t>/metus;</w:t>
            </w:r>
          </w:p>
          <w:p w14:paraId="5B905871" w14:textId="77777777" w:rsidR="00BB48CE" w:rsidRDefault="00000000">
            <w:pPr>
              <w:jc w:val="both"/>
              <w:rPr>
                <w:szCs w:val="24"/>
              </w:rPr>
            </w:pPr>
            <w:r>
              <w:rPr>
                <w:szCs w:val="24"/>
              </w:rPr>
              <w:t>2.17.2. informaciją apie planuojamą per projekto vertinamąjį laikotarpį sumažinti ŠESD kiekį, apskaičiuotą pagal Klimato kaitos programos lėšų naudojimo tvarkos aprašo, patvirtinto Lietuvos Respublikos aplinkos ministro 2010 m. balandžio 6 d. įsakymu Nr. D1-275 „Dėl Klimato kaitos programos lėšų naudojimo tvarkos aprašo patvirtinimo“, 2 priede pateiktą Išmetamų šiltnamio efektą sukeliančių dujų kiekio sumažinimo vertinimo metodiką. Skaičiavimai teikiami pagal Agentūros kvietime nurodytą pavyzdinę „Excel“ skaičiuoklę;</w:t>
            </w:r>
          </w:p>
          <w:p w14:paraId="4B9DBBDF" w14:textId="77777777" w:rsidR="00BB48CE" w:rsidRDefault="00000000">
            <w:pPr>
              <w:jc w:val="both"/>
              <w:rPr>
                <w:szCs w:val="24"/>
              </w:rPr>
            </w:pPr>
            <w:r>
              <w:rPr>
                <w:szCs w:val="24"/>
              </w:rPr>
              <w:t xml:space="preserve">2.17.3. laisvos formos deklaraciją, kad įgyvendinant projektą bus laikomasi reikalavimų dėl biometano dujų gamybos iš specifinių žaliavų (nurodytų 2018 m. gruodžio 11 d. Europos Parlamento ir Tarybos direktyvos </w:t>
            </w:r>
            <w:hyperlink r:id="rId13" w:tgtFrame="_blank" w:history="1">
              <w:r>
                <w:rPr>
                  <w:color w:val="0563C1" w:themeColor="hyperlink"/>
                  <w:szCs w:val="24"/>
                  <w:u w:val="single"/>
                </w:rPr>
                <w:t>(ES) 2018/2001</w:t>
              </w:r>
            </w:hyperlink>
            <w:r>
              <w:rPr>
                <w:szCs w:val="24"/>
              </w:rPr>
              <w:t xml:space="preserve"> dėl skatinimo naudoti atsinaujinančiųjų išteklių energiją</w:t>
            </w:r>
            <w:r>
              <w:rPr>
                <w:b/>
                <w:bCs/>
                <w:szCs w:val="24"/>
              </w:rPr>
              <w:t> </w:t>
            </w:r>
            <w:r>
              <w:rPr>
                <w:szCs w:val="24"/>
              </w:rPr>
              <w:t xml:space="preserve"> IX priede);</w:t>
            </w:r>
          </w:p>
          <w:p w14:paraId="7D3D2529" w14:textId="77777777" w:rsidR="00BB48CE" w:rsidRDefault="00000000">
            <w:pPr>
              <w:jc w:val="both"/>
              <w:rPr>
                <w:szCs w:val="24"/>
              </w:rPr>
            </w:pPr>
            <w:r>
              <w:rPr>
                <w:szCs w:val="24"/>
              </w:rPr>
              <w:t>2.17.4. informaciją dėl reikalavimo būti sertifikuotam pagal vieną iš Europos Komisijos patvirtintų nepriklausomų sertifikavimo schemų, nurodant, kada bus pateikiamas sertifikatas, kaip nurodyta PFSA 1 priedo 1 punkte;</w:t>
            </w:r>
          </w:p>
          <w:p w14:paraId="2DC79D37" w14:textId="77777777" w:rsidR="00BB48CE" w:rsidRDefault="00000000">
            <w:pPr>
              <w:jc w:val="both"/>
              <w:rPr>
                <w:szCs w:val="24"/>
              </w:rPr>
            </w:pPr>
            <w:r>
              <w:rPr>
                <w:szCs w:val="24"/>
              </w:rPr>
              <w:t>2.17.5. unikalų žemės sklypo, kuriame bus diegiamas projektas, numerį ir (arba) pastato unikalų numerį, jei projektas įgyvendinamas pastate;</w:t>
            </w:r>
          </w:p>
          <w:p w14:paraId="5DE7229E" w14:textId="77777777" w:rsidR="00BB48CE" w:rsidRDefault="00000000">
            <w:pPr>
              <w:jc w:val="both"/>
              <w:rPr>
                <w:szCs w:val="24"/>
              </w:rPr>
            </w:pPr>
            <w:r>
              <w:rPr>
                <w:szCs w:val="24"/>
              </w:rPr>
              <w:t>2.17.6. žemės sklypo ir (arba) pastato teisėto valdymo pagrindus (nuosavybė, dalinė nuosavybė, nuoma) patvirtinančius dokumentus, kurie turi būti įforminti iki PĮP pateikimo ir galioti ne trumpiau kaip 5 metus po projekto finansavimo. Jei projektas ar jo dalis diegiama pastate, tokiu atveju nurodomas pastato unikalus numeris ir pateikiami dokumentai, patvirtinantys pastato teisėto valdymo pagrindus, įregistruoti įstatymų nustatyta tvarka ir galioti ne trumpiau kaip 5 metus po projekto finansavimo;</w:t>
            </w:r>
          </w:p>
          <w:p w14:paraId="0727E6DC" w14:textId="77777777" w:rsidR="00BB48CE" w:rsidRDefault="00000000">
            <w:pPr>
              <w:jc w:val="both"/>
              <w:rPr>
                <w:szCs w:val="24"/>
              </w:rPr>
            </w:pPr>
            <w:r>
              <w:rPr>
                <w:szCs w:val="24"/>
              </w:rPr>
              <w:t>2.17.7. dokumentus, pagrindžiančius projekto išlaidų pagrįstumą (sudarytas sutartis, komercinius pasiūlymus, nuorodas į rinkoje esančias kainas), išlaidų apskaičiavimus;</w:t>
            </w:r>
          </w:p>
          <w:p w14:paraId="20D04923" w14:textId="77777777" w:rsidR="00BB48CE" w:rsidRDefault="00000000">
            <w:pPr>
              <w:jc w:val="both"/>
            </w:pPr>
            <w:r>
              <w:t>2.17.8. pareiškėjo įsipareigojimą padengti netinkamas finansuoti, tačiau šiam projektui įgyvendinti būtinas išlaidas ir tinkamas išlaidas, kurių nepadengia projekto finansavimas, įrodančius dokumentus;</w:t>
            </w:r>
          </w:p>
          <w:p w14:paraId="71927491" w14:textId="77777777" w:rsidR="00BB48CE" w:rsidRDefault="00000000">
            <w:pPr>
              <w:jc w:val="both"/>
              <w:rPr>
                <w:szCs w:val="24"/>
              </w:rPr>
            </w:pPr>
            <w:r>
              <w:rPr>
                <w:szCs w:val="24"/>
              </w:rPr>
              <w:t>2.17.9. atsakingos institucijos galiojančius dokumentus (jeigu taikoma), išduotus vadovaujantis Lietuvos Respublikos planuojamos ūkinės veiklos poveikio aplinkai vertinimo įstatymu (iki PĮP pateikimo pareiškėjas turi būti atlikęs ir pateikti poveikio aplinkai vertinimą ir (ar) atrankos procedūrą), arba pagrindimą, kodėl nurodytos procedūros netaikomos;</w:t>
            </w:r>
          </w:p>
          <w:p w14:paraId="1A8EC900" w14:textId="77777777" w:rsidR="00BB48CE" w:rsidRDefault="00000000">
            <w:pPr>
              <w:jc w:val="both"/>
              <w:rPr>
                <w:szCs w:val="24"/>
              </w:rPr>
            </w:pPr>
            <w:r>
              <w:rPr>
                <w:szCs w:val="24"/>
              </w:rPr>
              <w:t xml:space="preserve">2.17.10. vadovaujantis Planų ar programų ir planuojamos ūkinės veiklos įgyvendinimo poveikio įsteigtoms ar potencialioms „Natura 2000“ teritorijoms reikšmingumo nustatymo tvarkos aprašo, patvirtinto Lietuvos Respublikos aplinkos ministro 2006 m. gegužės 22 d. įsakymu Nr. D1-255 „Dėl Planų ar programų ir planuojamos ūkinės veiklos įgyvendinimo poveikio įsteigtoms ar potencialioms „Natura 2000“ teritorijoms reikšmingumo nustatymo tvarkos aprašo patvirtinimo“, </w:t>
            </w:r>
            <w:r>
              <w:rPr>
                <w:szCs w:val="24"/>
              </w:rPr>
              <w:lastRenderedPageBreak/>
              <w:t>nuostatomis atliktas „Natura 2000“ teritorijoms reikšmingumo nustatymas (jeigu taikoma) arba pagrindimas, kodėl nurodytos procedūros netaikomos;</w:t>
            </w:r>
          </w:p>
          <w:p w14:paraId="72C1D53F" w14:textId="77777777" w:rsidR="00BB48CE" w:rsidRDefault="00000000">
            <w:pPr>
              <w:jc w:val="both"/>
            </w:pPr>
            <w:r>
              <w:t>2.17.11. projekto metu planuojamos įdiegti įrangos projektinius sprendinius, kuriuose atsispindėtų dotacijos lėšomis įsigyjamos įrangos aprašymas, planuojamos įdiegti įrangos pajėgumai, planuojamas metinis sunaudojamas žaliavų kiekis (tonomis) ir pagrindiniai techniniai parametrai, taip pat dujų tinklų, prie kurių bus prijungiama įrengti planuojama įranga, operatoriaus išduotas preliminarias prijungimo sąlygas.</w:t>
            </w:r>
          </w:p>
          <w:p w14:paraId="111EC056" w14:textId="77777777" w:rsidR="00BB48CE" w:rsidRDefault="00000000">
            <w:pPr>
              <w:jc w:val="both"/>
              <w:rPr>
                <w:szCs w:val="24"/>
              </w:rPr>
            </w:pPr>
            <w:r>
              <w:rPr>
                <w:szCs w:val="24"/>
              </w:rPr>
              <w:t>2.17.12. suplanuotą preliminarų projekto darbų atlikimo grafiką;</w:t>
            </w:r>
          </w:p>
          <w:p w14:paraId="63C54CD3" w14:textId="77777777" w:rsidR="00BB48CE" w:rsidRDefault="00000000">
            <w:pPr>
              <w:jc w:val="both"/>
              <w:rPr>
                <w:szCs w:val="24"/>
              </w:rPr>
            </w:pPr>
            <w:r>
              <w:rPr>
                <w:szCs w:val="24"/>
              </w:rPr>
              <w:t>2.17.13. pareiškėjo paskutinių finansinių metų patvirtintų metinės finansinės (konsoliduotosios, jeigu taikoma) atskaitomybės dokumentų, patvirtintų teisės aktų, reguliuojančių įmonių finansinę atskaitomybę, nustatyta tvarka, kopijas (netaikoma pareiškėjui, kuris šias kopijas yra pateikęs Juridinių asmenų registrui);</w:t>
            </w:r>
          </w:p>
          <w:p w14:paraId="23213397" w14:textId="77777777" w:rsidR="00BB48CE" w:rsidRDefault="00000000">
            <w:pPr>
              <w:jc w:val="both"/>
              <w:rPr>
                <w:szCs w:val="24"/>
              </w:rPr>
            </w:pPr>
            <w:r>
              <w:rPr>
                <w:szCs w:val="24"/>
              </w:rPr>
              <w:t>2.17.14. investicijų projektą su bent viena siūloma įgyvendinti projekto alternatyva, nurodant paslaugos pokyčio rezultatą, kartu su investicijų projekto skaičiuokle, kurioje pasirenkamas sąnaudų veiksmingumo analizės metodas, parengtas pagal Investicijų projektų, kuriems siekiama gauti finansavimą iš Europos Sąjungos struktūrinės paramos ir / ar valstybės biudžeto lėšų, rengimo metodiką, patvirtintą viešosios įstaigos Centrinės projektų valdymo agentūros direktoriaus 2014 m. gruodžio 31 d. įsakymu Nr. 2014/8-337, kuri skelbiama adresu http://www.ppplietuva.lt/ skiltyje „viešųjų investicijų projektų rengimas“ prie „rengimas ir vertinimas“;</w:t>
            </w:r>
          </w:p>
          <w:p w14:paraId="4BC4E1C6" w14:textId="77777777" w:rsidR="00BB48CE" w:rsidRDefault="00000000">
            <w:pPr>
              <w:jc w:val="both"/>
            </w:pPr>
            <w:r>
              <w:t>2.17.15. smulkiojo ir vidutinio verslo statuso deklaraciją, jei pareiškėjas ‒ maža arba vidutinė įmonė. Deklaraciją (raštą), kai pareiškėjas yra didelė įmonė.</w:t>
            </w:r>
          </w:p>
          <w:p w14:paraId="5B16526D" w14:textId="77777777" w:rsidR="00BB48CE" w:rsidRDefault="00000000">
            <w:pPr>
              <w:jc w:val="both"/>
            </w:pPr>
            <w:r>
              <w:rPr>
                <w:szCs w:val="24"/>
              </w:rPr>
              <w:t>2.18. PĮP vertinimą sudaro:</w:t>
            </w:r>
          </w:p>
          <w:p w14:paraId="02651637" w14:textId="77777777" w:rsidR="00BB48CE" w:rsidRDefault="00000000">
            <w:pPr>
              <w:jc w:val="both"/>
              <w:rPr>
                <w:szCs w:val="24"/>
              </w:rPr>
            </w:pPr>
            <w:r>
              <w:rPr>
                <w:szCs w:val="24"/>
              </w:rPr>
              <w:t>2.18. 1. administracinės atitikties vertinimas;</w:t>
            </w:r>
          </w:p>
          <w:p w14:paraId="7B11DDB2" w14:textId="77777777" w:rsidR="00BB48CE" w:rsidRDefault="00000000">
            <w:pPr>
              <w:jc w:val="both"/>
              <w:rPr>
                <w:szCs w:val="24"/>
              </w:rPr>
            </w:pPr>
            <w:r>
              <w:rPr>
                <w:szCs w:val="24"/>
              </w:rPr>
              <w:t>2.18.2. aplinkosauginis-techninis projekto vertinimas.</w:t>
            </w:r>
          </w:p>
          <w:p w14:paraId="7772EBD3" w14:textId="77777777" w:rsidR="00BB48CE" w:rsidRDefault="00000000">
            <w:pPr>
              <w:jc w:val="both"/>
              <w:rPr>
                <w:szCs w:val="24"/>
              </w:rPr>
            </w:pPr>
            <w:r>
              <w:rPr>
                <w:szCs w:val="24"/>
              </w:rPr>
              <w:t xml:space="preserve">2.18.3. Agentūra pateiktus PĮP vertina vadovaudamasi PFSA ir laikydamasi lygiateisiškumo, skaidrumo, nešališkumo ir konfidencialumo principų. </w:t>
            </w:r>
          </w:p>
          <w:p w14:paraId="0ECDFFA8" w14:textId="77777777" w:rsidR="00BB48CE" w:rsidRDefault="00000000">
            <w:pPr>
              <w:jc w:val="both"/>
            </w:pPr>
            <w:r>
              <w:t>2.18.4. Agentūra per 20 darbo dienų nuo PĮP teikimo termino pabaigos atlieka pateiktų PĮP administracinės atitikties vertinimą (PĮP vertinami eilės tvarka pagal jų registracijos datą APVIS) – nustato, ar PĮP tinkamai užpildyta, ar pateikti visi reikalaujami dokumentai, ar pareiškėjas tinkamas dotacijai gauti, ar tenkinami nustatyti specialieji reikalavimai. Prireikus pareiškėjui per APVIS išsiunčiamas pranešimas, kad jis turi per nustatytą terminą, ne trumpesnį kaip 3 darbo dienos ir ne ilgesnį kaip 10 darbo dienų, patikslinti PĮP, pateikti trūkstamus dokumentus ar trūkstamus priedus.</w:t>
            </w:r>
          </w:p>
          <w:p w14:paraId="0FD58934" w14:textId="77777777" w:rsidR="00BB48CE" w:rsidRDefault="00000000">
            <w:pPr>
              <w:jc w:val="both"/>
              <w:rPr>
                <w:szCs w:val="24"/>
              </w:rPr>
            </w:pPr>
            <w:r>
              <w:rPr>
                <w:szCs w:val="24"/>
              </w:rPr>
              <w:t>2.18.5. PĮP, neatitinkantys keliamų reikalavimų, atmetami. Agentūra APVIS nurodo atmetimo priežastis. Jei per PSFA 2.18.4. papunktyje nurodytą terminą pareiškėjas PĮP nepatikslinama ir (ar) nepateikia trūkstamų dokumentų Agentūrai, PĮP atmetamas.</w:t>
            </w:r>
          </w:p>
          <w:p w14:paraId="0DFD5A13" w14:textId="77777777" w:rsidR="00BB48CE" w:rsidRDefault="00000000">
            <w:pPr>
              <w:jc w:val="both"/>
              <w:rPr>
                <w:szCs w:val="24"/>
              </w:rPr>
            </w:pPr>
            <w:r>
              <w:rPr>
                <w:szCs w:val="24"/>
              </w:rPr>
              <w:t xml:space="preserve">2.18.6. Administracinius reikalavimus atitinkantys PĮP toliau vertinami – atliekamas aplinkosauginis-techninis vertinimas, kurio metu PĮP vertinami pagal </w:t>
            </w:r>
            <w:r>
              <w:rPr>
                <w:bCs/>
                <w:szCs w:val="24"/>
              </w:rPr>
              <w:t>projektų atrankos</w:t>
            </w:r>
            <w:r>
              <w:rPr>
                <w:b/>
                <w:szCs w:val="24"/>
              </w:rPr>
              <w:t xml:space="preserve"> </w:t>
            </w:r>
            <w:r>
              <w:rPr>
                <w:szCs w:val="24"/>
              </w:rPr>
              <w:t>kriterijus, patvirtintus PFSA 9 punkte. Šio aplinkosauginio-techninio vertinimo metu įvertinamas PĮP pateiktos informacijos pagrįstumas. Prireikus pareiškėjui per APVIS išsiunčiamas pranešimas, kad jis turi per nustatytą terminą, ne trumpesnį kaip 5 darbo dienos ir ne ilgesnį kaip 10 darbo dienų nuo šio pranešimo pateikimo, patikslinti PĮP, pateikti trūkstamus dokumentus ar trūkstamus priedus.</w:t>
            </w:r>
          </w:p>
          <w:p w14:paraId="4B7537A2" w14:textId="77777777" w:rsidR="00BB48CE" w:rsidRDefault="00000000">
            <w:pPr>
              <w:jc w:val="both"/>
              <w:rPr>
                <w:szCs w:val="24"/>
              </w:rPr>
            </w:pPr>
            <w:r>
              <w:rPr>
                <w:szCs w:val="24"/>
              </w:rPr>
              <w:t>2.18.7. PĮP aplinkosauginis-techninis vertinimas negali trukti ilgiau kaip 60 darbo dienų, skaičiuojant nuo PĮP administracinės atitikties įvertinimo pabaigos dienos.</w:t>
            </w:r>
          </w:p>
          <w:p w14:paraId="6AE42C8C" w14:textId="77777777" w:rsidR="00BB48CE" w:rsidRDefault="00000000">
            <w:pPr>
              <w:jc w:val="both"/>
              <w:rPr>
                <w:szCs w:val="24"/>
              </w:rPr>
            </w:pPr>
            <w:r>
              <w:rPr>
                <w:szCs w:val="24"/>
              </w:rPr>
              <w:t>2.18.8. Po aplinkosauginio-techninio įvertinimo sudaroma PĮP eilė. Ji sudaroma vadovaujantis PĮP pateikta informacija neviršijant 16 mln. eurų. PĮP nurodyti duomenys, jei nėra Agentūros leidimo, po PĮP pateikimo dienos negali būti tikslinami. PĮP išdėstomi pagal bendrą (suminį) suteiktų balų skaičių (nuo didžiausio iki mažiausio). </w:t>
            </w:r>
          </w:p>
          <w:p w14:paraId="4E8DE9E0" w14:textId="77777777" w:rsidR="00BB48CE" w:rsidRDefault="00000000">
            <w:pPr>
              <w:jc w:val="both"/>
              <w:rPr>
                <w:szCs w:val="24"/>
              </w:rPr>
            </w:pPr>
            <w:r>
              <w:rPr>
                <w:szCs w:val="24"/>
              </w:rPr>
              <w:t xml:space="preserve">2.18.9. Pasibaigus PĮP vertinimui, sudaroma finansuotinų projektų eilė ir per 5 darbo dienas sprendimas skirti finansavimą įforminamas Agentūros direktoriaus įsakymu ir paskelbiamas Teisės </w:t>
            </w:r>
            <w:r>
              <w:rPr>
                <w:szCs w:val="24"/>
              </w:rPr>
              <w:lastRenderedPageBreak/>
              <w:t>aktų registre. Skelbiamoje informacijoje nurodomi pareiškėjai, pareiškėjų (įmonių) kodai, projektų pavadinimai, skirta dotacija eurais.</w:t>
            </w:r>
          </w:p>
          <w:p w14:paraId="35520952" w14:textId="77777777" w:rsidR="00BB48CE" w:rsidRDefault="00000000">
            <w:pPr>
              <w:jc w:val="both"/>
              <w:rPr>
                <w:szCs w:val="24"/>
              </w:rPr>
            </w:pPr>
            <w:r>
              <w:rPr>
                <w:szCs w:val="24"/>
              </w:rPr>
              <w:t>2.18.10. Agentūra per 10 darbo dienų nuo Agentūros direktoriaus įsakymo dėl sprendimo skirti finansavimą patvirtinimo per APVIS informuoja pareiškėjus apie skirtą ar neskirtą finansavimą, nurodo finansavimo neskyrimo priežastis.</w:t>
            </w:r>
          </w:p>
          <w:p w14:paraId="273C6B8D" w14:textId="77777777" w:rsidR="00BB48CE" w:rsidRDefault="00000000">
            <w:pPr>
              <w:jc w:val="both"/>
              <w:rPr>
                <w:szCs w:val="24"/>
              </w:rPr>
            </w:pPr>
            <w:r>
              <w:rPr>
                <w:szCs w:val="24"/>
              </w:rPr>
              <w:t>2.18.11. Agentūros direktoriaus įsakymu skyrus finansavimą, pareiškėjas bet kuriuo metu turi teisę jo atsisakyti. Apie finansavimo atsisakymą pareiškėjas informuoja Agentūrą pateikdamas prašymą per APVIS, nurodydamas atsisakymo aplinkybes ir (ar) priežastis, kurių nebuvo galima numatyti teikiant PĮP. Pareiškėjas išmokėtą dotaciją ar jos dalį privalo grąžinti ne vėliau kaip per 10 darbo dienų nuo šio prašymo pateikimo dienos. </w:t>
            </w:r>
          </w:p>
          <w:p w14:paraId="53F6D51E" w14:textId="77777777" w:rsidR="00BB48CE" w:rsidRDefault="00000000">
            <w:pPr>
              <w:jc w:val="both"/>
              <w:rPr>
                <w:szCs w:val="24"/>
              </w:rPr>
            </w:pPr>
            <w:r>
              <w:rPr>
                <w:szCs w:val="24"/>
              </w:rPr>
              <w:t>2.18.12. Agentūros direktoriaus įsakymu patvirtinus finansavimą, Agentūra per 30 darbo dienų nuo finansavimo patvirtinimo su pareiškėju suderina ir pasirašo projekto finansavimo sutartį. Projekto įgyvendinimo pradžios data laikoma projekto finansavimo sutarties įsigaliojimo diena, pasirašius abiem šalims.</w:t>
            </w:r>
          </w:p>
          <w:p w14:paraId="3F5AB205" w14:textId="77777777" w:rsidR="00BB48CE" w:rsidRDefault="00000000">
            <w:pPr>
              <w:jc w:val="both"/>
              <w:rPr>
                <w:szCs w:val="24"/>
              </w:rPr>
            </w:pPr>
            <w:r>
              <w:rPr>
                <w:szCs w:val="24"/>
              </w:rPr>
              <w:t>2.18.13. Pareiškėjai pirkimus vykdo vadovaudamiesi Lietuvos Respublikos viešųjų pirkimų įstatymu, kai pareiškėjas yra perkančioji organizacija, ir vadovaudamiesi Subjektų, kurie nėra perkančiosios organizacijos pagal Lietuvos Respublikos viešųjų pirkimų įstatymą ir nėra perkantieji subjektai pagal Lietuvos Respublikos pirkimų, atliekamų vandentvarkos, energetikos, transporto ar pašto paslaugų srities perkančiųjų subjektų, įstatymą, pirkimų vykdymo tvarkos aprašu, patvirtintu Lietuvos Respublikos aplinkos ministro 2010 m. rugsėjo 14 d. įsakymu Nr. D1-762 „Dėl Subjektų, kurie nėra perkančiosios organizacijos pagal Lietuvos Respublikos viešųjų pirkimų įstatymą ir nėra perkantieji subjektai pagal Lietuvos Respublikos pirkimų, atliekamų vandentvarkos, energetikos, transporto ar pašto paslaugų srities perkančiųjų subjektų, įstatymą, pirkimų vykdymo tvarkos aprašo patvirtinimo“, kai pareiškėjas nėra perkančioji organizacija. Pareiškėjas, įvykdęs šiame papunktyje nustatytus reikalavimus atitinkantį pirkimą (jeigu pareiškėjui taikoma) ir pasirašęs pirkimo sutartį, per projekto finansavimo sutartyje nustatytus terminus informuoja Agentūrą ir per APVIS pateikia įvertinti pirkimo dokumentų kopijas.</w:t>
            </w:r>
          </w:p>
        </w:tc>
      </w:tr>
      <w:tr w:rsidR="00BB48CE" w14:paraId="13213F69" w14:textId="77777777">
        <w:tc>
          <w:tcPr>
            <w:tcW w:w="5000" w:type="pct"/>
          </w:tcPr>
          <w:p w14:paraId="75DF5087" w14:textId="77777777" w:rsidR="00BB48CE" w:rsidRDefault="00000000">
            <w:pPr>
              <w:rPr>
                <w:b/>
                <w:szCs w:val="24"/>
              </w:rPr>
            </w:pPr>
            <w:r>
              <w:rPr>
                <w:b/>
                <w:szCs w:val="24"/>
              </w:rPr>
              <w:lastRenderedPageBreak/>
              <w:t>3. Reikalavimai jungtinio projekto projektams ir jungtinio projekto projektų pareiškėjams</w:t>
            </w:r>
          </w:p>
        </w:tc>
      </w:tr>
      <w:tr w:rsidR="00BB48CE" w14:paraId="3F14A97C" w14:textId="77777777">
        <w:tc>
          <w:tcPr>
            <w:tcW w:w="5000" w:type="pct"/>
          </w:tcPr>
          <w:p w14:paraId="7D8A5610" w14:textId="77777777" w:rsidR="00BB48CE" w:rsidRDefault="00000000">
            <w:pPr>
              <w:jc w:val="both"/>
              <w:rPr>
                <w:bCs/>
                <w:szCs w:val="24"/>
              </w:rPr>
            </w:pPr>
            <w:r>
              <w:rPr>
                <w:bCs/>
                <w:szCs w:val="24"/>
              </w:rPr>
              <w:t>Netaikomas.</w:t>
            </w:r>
          </w:p>
        </w:tc>
      </w:tr>
      <w:tr w:rsidR="00BB48CE" w14:paraId="7F307A08" w14:textId="77777777">
        <w:tc>
          <w:tcPr>
            <w:tcW w:w="5000" w:type="pct"/>
          </w:tcPr>
          <w:p w14:paraId="16B6D5B0" w14:textId="77777777" w:rsidR="00BB48CE" w:rsidRDefault="00000000">
            <w:pPr>
              <w:jc w:val="both"/>
              <w:rPr>
                <w:b/>
                <w:bCs/>
                <w:color w:val="808080"/>
                <w:szCs w:val="24"/>
              </w:rPr>
            </w:pPr>
            <w:r>
              <w:rPr>
                <w:b/>
                <w:bCs/>
                <w:color w:val="000000"/>
                <w:szCs w:val="24"/>
              </w:rPr>
              <w:t xml:space="preserve">4. </w:t>
            </w:r>
            <w:r>
              <w:rPr>
                <w:b/>
                <w:szCs w:val="24"/>
              </w:rPr>
              <w:t>Projekto tikslinės grupės</w:t>
            </w:r>
          </w:p>
        </w:tc>
      </w:tr>
      <w:tr w:rsidR="00BB48CE" w14:paraId="34893BFA" w14:textId="77777777">
        <w:tc>
          <w:tcPr>
            <w:tcW w:w="5000" w:type="pct"/>
          </w:tcPr>
          <w:p w14:paraId="01C66E7C" w14:textId="77777777" w:rsidR="00BB48CE" w:rsidRDefault="00000000">
            <w:pPr>
              <w:jc w:val="both"/>
              <w:rPr>
                <w:iCs/>
              </w:rPr>
            </w:pPr>
            <w:r>
              <w:rPr>
                <w:iCs/>
              </w:rPr>
              <w:t xml:space="preserve">Projekto tikslinę grupę sudaro tiesioginiai ir netiesioginiai naudos gavėjai. Tiesioginiai naudos gavėjai – </w:t>
            </w:r>
            <w:r>
              <w:t>juridiniai asmenys – didelė, vidutinė, maža ar labai maža įmonė; žemės ūkio veiklą vykdantys subjektai. Netiesioginiai naudos gavėjai – visi Lietuvos Respublikos gyventojai, kadangi dėl tiesioginių naudos gavėjų poveikio sumažės išmetamų šiltnamio efektą sukeliančių dujų kiekis ir bus siekiama klimato švelninimo tikslų įgyvendinimo.</w:t>
            </w:r>
          </w:p>
        </w:tc>
      </w:tr>
      <w:tr w:rsidR="00BB48CE" w14:paraId="075F98CF" w14:textId="77777777">
        <w:tc>
          <w:tcPr>
            <w:tcW w:w="5000" w:type="pct"/>
          </w:tcPr>
          <w:p w14:paraId="0FCEB0C1" w14:textId="77777777" w:rsidR="00BB48CE" w:rsidRDefault="00000000">
            <w:pPr>
              <w:rPr>
                <w:b/>
                <w:color w:val="808080"/>
                <w:szCs w:val="24"/>
              </w:rPr>
            </w:pPr>
            <w:r>
              <w:rPr>
                <w:b/>
                <w:color w:val="000000"/>
                <w:szCs w:val="24"/>
              </w:rPr>
              <w:t>5. Horizontaliųjų principų reikalavimai</w:t>
            </w:r>
          </w:p>
        </w:tc>
      </w:tr>
      <w:tr w:rsidR="00BB48CE" w14:paraId="170AED4B" w14:textId="77777777">
        <w:tc>
          <w:tcPr>
            <w:tcW w:w="5000" w:type="pct"/>
          </w:tcPr>
          <w:p w14:paraId="7975F59E" w14:textId="77777777" w:rsidR="00BB48CE" w:rsidRDefault="00000000">
            <w:pPr>
              <w:jc w:val="both"/>
            </w:pPr>
            <w:r>
              <w:t>5.1. Įgyvendinant projektą, neturi būti pažeidžiami horizontalieji principai (toliau – HP): darnaus vystymosi principai,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(paslaugų, infrastruktūros, fizinės ar e. aplinkos sprendimai, informacijos, transporto prieinamumo ir pan.); inovatyvumo (kūrybingumo) (vykdomi inovatyvūs viešieji pirkimai, taikomos naujos technologijos, kuriami ar diegiami inovatyvūs sprendimai ir pan.), turi būti</w:t>
            </w:r>
            <w:r>
              <w:rPr>
                <w:shd w:val="clear" w:color="auto" w:fill="FFFFFF"/>
                <w:lang w:eastAsia="lt-LT"/>
              </w:rPr>
              <w:t xml:space="preserve"> atsižvelgiama į Jungtinių Tautų neįgaliųjų teisių konvencijos nuostatas</w:t>
            </w:r>
            <w:r>
              <w:t>. Neturi būti numatyta projekto įgyvendinimo veiksmų, kurie turėtų neigiamą poveikį įgyvendinant HP.</w:t>
            </w:r>
          </w:p>
          <w:p w14:paraId="3D5CA5FC" w14:textId="77777777" w:rsidR="00BB48CE" w:rsidRDefault="00000000">
            <w:pPr>
              <w:jc w:val="both"/>
            </w:pPr>
            <w:r>
              <w:rPr>
                <w:rFonts w:eastAsia="Calibri"/>
              </w:rPr>
              <w:t>5.2. Projekto v</w:t>
            </w:r>
            <w:r>
              <w:t>eiklomis prisidedama siekiant 2021</w:t>
            </w:r>
            <w:r>
              <w:rPr>
                <w:b/>
                <w:bCs/>
              </w:rPr>
              <w:t>–</w:t>
            </w:r>
            <w:r>
              <w:t>2030 metų Nacionaliniame pažangos plane, patvirtintame Lietuvos Respublikos Vyriausybės 2020 m. rugsėjo 9 d. įsakymu Nr. 998 „Dėl 2021–2030 metų nacionalinio pažangos plano patvirtinimo“, įtvirtinto darnaus vystymosi HP įgyvendinimo ir pažangos rodiklių „1.2. Žaliųjų viešųjų pirkimų vertės dalis nuo visų viešųjų pirkimų dalies“ ir „1.3. Išmetamų į atmosferą šiltnamio efektą sukeliančių dujų kiekio pokytis ES ATLPS nedalyvaujančiuose sektoriuose, palyginti su 2005 m.“.</w:t>
            </w:r>
          </w:p>
          <w:p w14:paraId="26588A7E" w14:textId="77777777" w:rsidR="00BB48CE" w:rsidRDefault="00000000">
            <w:pPr>
              <w:jc w:val="both"/>
            </w:pPr>
            <w:r>
              <w:lastRenderedPageBreak/>
              <w:t>5.3. Projekto veiklos neturės tiesioginio poveikio inovatyvumo (kūrybingumo) HP, nes nėra susijusios su sisteminių inovacijų ekosistemos problemų sprendimu ar atviros, laisvos, savimi pasitikinčios ir kūrybingos visuomenės, kuri yra būtina inovatyvumo sąlyga, ugdymu.</w:t>
            </w:r>
          </w:p>
          <w:p w14:paraId="2DC5C45D" w14:textId="77777777" w:rsidR="00BB48CE" w:rsidRDefault="00000000">
            <w:pPr>
              <w:jc w:val="both"/>
              <w:rPr>
                <w:i/>
                <w:color w:val="808080"/>
                <w:szCs w:val="24"/>
              </w:rPr>
            </w:pPr>
            <w:r>
              <w:t>5.4. Įgyvendinant projektą, turi būti laikomasi klimato ir aplinkos apsaugos standartų,</w:t>
            </w:r>
            <w:r>
              <w:rPr>
                <w:shd w:val="clear" w:color="auto" w:fill="FFFFFF"/>
                <w:lang w:eastAsia="lt-LT"/>
              </w:rPr>
              <w:t xml:space="preserve"> atsižvelgiant į Sutarties dėl Europos Sąjungos veikimo 11 straipsnį, Jungtinių Tautų darnaus vystymosi tikslus, Jungtinių Tautų bendrosios klimato kaitos konvencijos Paryžiaus susitarimą. Jokia projekto veikla neturėtų būti padaryta reikšminga žala </w:t>
            </w:r>
            <w:r>
              <w:rPr>
                <w:rFonts w:eastAsia="Calibri"/>
              </w:rPr>
              <w:t xml:space="preserve">6 aplinkos tikslams, nurodytiems 2020 m. birželio 18 d. Europos Parlamento ir Tarybos reglamente </w:t>
            </w:r>
            <w:hyperlink r:id="rId14" w:tgtFrame="_blank" w:history="1">
              <w:r>
                <w:rPr>
                  <w:rFonts w:eastAsia="Calibri"/>
                  <w:color w:val="0563C1" w:themeColor="hyperlink"/>
                  <w:u w:val="single"/>
                </w:rPr>
                <w:t>(ES) 2020/852</w:t>
              </w:r>
            </w:hyperlink>
            <w:r>
              <w:rPr>
                <w:rFonts w:eastAsia="Calibri"/>
              </w:rPr>
              <w:t xml:space="preserve"> dėl sistemos tvariam investavimui palengvinti sukūrimo, kuriuo iš dalies keičiamas Reglamentas </w:t>
            </w:r>
            <w:hyperlink r:id="rId15" w:tgtFrame="_blank" w:history="1">
              <w:r>
                <w:rPr>
                  <w:rFonts w:eastAsia="Calibri"/>
                  <w:color w:val="0563C1" w:themeColor="hyperlink"/>
                  <w:u w:val="single"/>
                </w:rPr>
                <w:t>(ES) 2019/2088</w:t>
              </w:r>
            </w:hyperlink>
            <w:r>
              <w:rPr>
                <w:rFonts w:eastAsia="Calibri"/>
              </w:rPr>
              <w:t>.</w:t>
            </w:r>
          </w:p>
        </w:tc>
      </w:tr>
      <w:tr w:rsidR="00BB48CE" w14:paraId="7D1EA355" w14:textId="77777777">
        <w:tc>
          <w:tcPr>
            <w:tcW w:w="5000" w:type="pct"/>
          </w:tcPr>
          <w:p w14:paraId="193E10FE" w14:textId="77777777" w:rsidR="00BB48CE" w:rsidRDefault="00000000">
            <w:pPr>
              <w:jc w:val="both"/>
              <w:rPr>
                <w:i/>
                <w:color w:val="808080"/>
                <w:szCs w:val="24"/>
              </w:rPr>
            </w:pPr>
            <w:r>
              <w:rPr>
                <w:b/>
                <w:color w:val="000000"/>
                <w:szCs w:val="24"/>
              </w:rPr>
              <w:t>6. Europos Sąjungos pagrindinių teisių chartijos (toliau – Chartija) reikalavimai</w:t>
            </w:r>
          </w:p>
        </w:tc>
      </w:tr>
      <w:tr w:rsidR="00BB48CE" w14:paraId="207B0845" w14:textId="77777777">
        <w:tc>
          <w:tcPr>
            <w:tcW w:w="5000" w:type="pct"/>
          </w:tcPr>
          <w:p w14:paraId="1B6CE386" w14:textId="77777777" w:rsidR="00BB48CE" w:rsidRDefault="00000000">
            <w:pPr>
              <w:jc w:val="both"/>
              <w:rPr>
                <w:iCs/>
                <w:szCs w:val="24"/>
              </w:rPr>
            </w:pPr>
            <w:r>
              <w:rPr>
                <w:iCs/>
                <w:szCs w:val="24"/>
              </w:rPr>
              <w:t>Pagal PFSA finansuojamos veiklos nepažeidžia Chartijos pagrindinių teisių: orumo; asmenų, privataus ir šeimos gyvenimo, sąžinės ir saviraiškos laisvės; asmens duomenų; prieglobsčio ir apsaugos perkėlimo, išsiuntimo ar išdavimo atveju; teisių į nuosavybę ir teisių užsiimti verslu; lyčių lygybės, vienodo požiūrio ir lygių galimybių, nediskriminavimo ir neįgaliųjų teisių; vaiko teisių; gero administravimo, veiksmingos teisinės gynybos, teisingumo; solidarumo ir darbuotojų teisių; aplinkos apsaugos.</w:t>
            </w:r>
          </w:p>
          <w:p w14:paraId="3B615808" w14:textId="77777777" w:rsidR="00BB48CE" w:rsidRDefault="00000000">
            <w:pPr>
              <w:jc w:val="both"/>
              <w:rPr>
                <w:i/>
                <w:color w:val="808080"/>
                <w:szCs w:val="24"/>
              </w:rPr>
            </w:pPr>
            <w:r>
              <w:rPr>
                <w:iCs/>
                <w:szCs w:val="24"/>
              </w:rPr>
              <w:t>Įgyvendinant projekto veiklas, negali būti pažeista Chartijoje įtvirtinta teisė į nuosavybę (žemę, kilnojamąjį turtą, materialųjį ir nematerialųjį turtą).</w:t>
            </w:r>
          </w:p>
        </w:tc>
      </w:tr>
      <w:tr w:rsidR="00BB48CE" w14:paraId="2D5ABAB4" w14:textId="77777777">
        <w:tc>
          <w:tcPr>
            <w:tcW w:w="5000" w:type="pct"/>
          </w:tcPr>
          <w:p w14:paraId="2AF8FEFB" w14:textId="77777777" w:rsidR="00BB48CE" w:rsidRDefault="00000000">
            <w:pPr>
              <w:rPr>
                <w:b/>
                <w:szCs w:val="24"/>
              </w:rPr>
            </w:pPr>
            <w:r>
              <w:rPr>
                <w:b/>
                <w:szCs w:val="24"/>
              </w:rPr>
              <w:t>7. Apskritis, kurioje gali būti įgyvendinami projektai</w:t>
            </w:r>
          </w:p>
        </w:tc>
      </w:tr>
      <w:tr w:rsidR="00BB48CE" w14:paraId="3A9391FA" w14:textId="77777777">
        <w:tc>
          <w:tcPr>
            <w:tcW w:w="5000" w:type="pct"/>
          </w:tcPr>
          <w:p w14:paraId="0CB944DD" w14:textId="77777777" w:rsidR="00BB48CE" w:rsidRDefault="00000000">
            <w:pPr>
              <w:jc w:val="both"/>
              <w:rPr>
                <w:i/>
                <w:szCs w:val="24"/>
              </w:rPr>
            </w:pPr>
            <w:r>
              <w:rPr>
                <w:iCs/>
              </w:rPr>
              <w:t>Netaikoma. Projektai įgyvendinami Lietuvos Respublikos teritorijoje.</w:t>
            </w:r>
          </w:p>
        </w:tc>
      </w:tr>
      <w:tr w:rsidR="00BB48CE" w14:paraId="0FBBF629" w14:textId="77777777">
        <w:tc>
          <w:tcPr>
            <w:tcW w:w="5000" w:type="pct"/>
          </w:tcPr>
          <w:p w14:paraId="4A53E66E" w14:textId="77777777" w:rsidR="00BB48CE" w:rsidRDefault="00000000">
            <w:pPr>
              <w:jc w:val="both"/>
              <w:rPr>
                <w:b/>
                <w:szCs w:val="24"/>
              </w:rPr>
            </w:pPr>
            <w:r>
              <w:rPr>
                <w:b/>
                <w:szCs w:val="24"/>
              </w:rPr>
              <w:t xml:space="preserve">8. Reikalavimai valstybės pagalbai </w:t>
            </w:r>
          </w:p>
        </w:tc>
      </w:tr>
      <w:tr w:rsidR="00BB48CE" w14:paraId="1218FD00" w14:textId="77777777">
        <w:tc>
          <w:tcPr>
            <w:tcW w:w="5000" w:type="pct"/>
          </w:tcPr>
          <w:p w14:paraId="38DF4176" w14:textId="77777777" w:rsidR="00BB48CE" w:rsidRDefault="00000000">
            <w:pPr>
              <w:jc w:val="both"/>
            </w:pPr>
            <w:r>
              <w:t xml:space="preserve">8.1. Pagal PFSA projekto veiklų finansavimas yra valstybės pagalba, kaip ji apibrėžiama Sutarties dėl Europos Sąjungos veikimo 107 straipsnyje. Finansavimas, skiriamas projektams kaip valstybės pagalba, yra investicinė pagalba, kuri teikiama pagal Reglamento </w:t>
            </w:r>
            <w:hyperlink r:id="rId16" w:tgtFrame="_blank" w:history="1">
              <w:r>
                <w:rPr>
                  <w:color w:val="0563C1" w:themeColor="hyperlink"/>
                  <w:u w:val="single"/>
                </w:rPr>
                <w:t>(ES) Nr. 651/2014</w:t>
              </w:r>
            </w:hyperlink>
            <w:r>
              <w:t xml:space="preserve"> 41 straipsnį, atsižvelgiant į I skyriaus nuostatas bei 1 straipsnio 2–5 dalyse nustatytus apribojimus. Projektų valstybės pagalbos atitikties Reglamento </w:t>
            </w:r>
            <w:hyperlink r:id="rId17" w:tgtFrame="_blank" w:history="1">
              <w:r>
                <w:rPr>
                  <w:color w:val="0563C1" w:themeColor="hyperlink"/>
                  <w:u w:val="single"/>
                </w:rPr>
                <w:t>(ES) Nr. 651/2014</w:t>
              </w:r>
            </w:hyperlink>
            <w:r>
              <w:t xml:space="preserve"> 41 straipsnio nuostatoms vertinimą atlieka Agentūra. </w:t>
            </w:r>
          </w:p>
          <w:p w14:paraId="67DF190B" w14:textId="77777777" w:rsidR="00BB48CE" w:rsidRDefault="00000000">
            <w:pPr>
              <w:jc w:val="both"/>
            </w:pPr>
            <w:r>
              <w:rPr>
                <w:bCs/>
                <w:szCs w:val="24"/>
              </w:rPr>
              <w:t xml:space="preserve">8.2. Projektų valstybės pagalbos atitikties Sutarties dėl Europos Sąjungos veikimo 107 straipsnyje įtvirtintam valstybės pagalbos apibrėžimui atitikimą Reglamentui </w:t>
            </w:r>
            <w:hyperlink r:id="rId18" w:tgtFrame="_blank" w:history="1">
              <w:r>
                <w:rPr>
                  <w:bCs/>
                  <w:color w:val="0563C1" w:themeColor="hyperlink"/>
                  <w:szCs w:val="24"/>
                  <w:u w:val="single"/>
                </w:rPr>
                <w:t>(ES) Nr. 651/2014</w:t>
              </w:r>
            </w:hyperlink>
            <w:r>
              <w:rPr>
                <w:bCs/>
                <w:szCs w:val="24"/>
              </w:rPr>
              <w:t xml:space="preserve"> vertinimą atlieka Agentūra, pildydama </w:t>
            </w:r>
            <w:r>
              <w:rPr>
                <w:szCs w:val="24"/>
              </w:rPr>
              <w:t xml:space="preserve">Projektų atitikties valstybės pagalbos taisyklėms patikros lapą (PFSA 2 </w:t>
            </w:r>
            <w:r>
              <w:rPr>
                <w:bCs/>
                <w:szCs w:val="24"/>
              </w:rPr>
              <w:t>priedas).</w:t>
            </w:r>
          </w:p>
          <w:p w14:paraId="74D09847" w14:textId="77777777" w:rsidR="00BB48CE" w:rsidRDefault="00000000">
            <w:pPr>
              <w:jc w:val="both"/>
            </w:pPr>
            <w:r>
              <w:t>8.3. Valstybės pagalba neteikiama:</w:t>
            </w:r>
          </w:p>
          <w:p w14:paraId="016EE178" w14:textId="77777777" w:rsidR="00BB48CE" w:rsidRDefault="00000000">
            <w:pPr>
              <w:jc w:val="both"/>
            </w:pPr>
            <w:r>
              <w:t xml:space="preserve">8.3.1. sunkumus patiriančioms įmonėms (sunkumus patiriančia įmone laikoma įmonė, kaip ji apibrėžiama Reglamento </w:t>
            </w:r>
            <w:hyperlink r:id="rId19" w:tgtFrame="_blank" w:history="1">
              <w:r>
                <w:rPr>
                  <w:color w:val="0563C1" w:themeColor="hyperlink"/>
                  <w:u w:val="single"/>
                </w:rPr>
                <w:t>(ES) Nr. 651/2014</w:t>
              </w:r>
            </w:hyperlink>
            <w:r>
              <w:t xml:space="preserve"> 2 straipsnio 18 punkte; </w:t>
            </w:r>
          </w:p>
          <w:p w14:paraId="15CC6DDF" w14:textId="77777777" w:rsidR="00BB48CE" w:rsidRDefault="00000000">
            <w:pPr>
              <w:jc w:val="both"/>
              <w:rPr>
                <w:sz w:val="22"/>
                <w:szCs w:val="22"/>
              </w:rPr>
            </w:pPr>
            <w:r>
              <w:t xml:space="preserve">8.3.2. ūkio subjektams, kuriems išduotas vykdomasis raštas sumoms išieškoti pagal ankstesnį Europos Komisijos sprendimą, kuriame </w:t>
            </w:r>
            <w:r>
              <w:rPr>
                <w:color w:val="000000"/>
              </w:rPr>
              <w:t>Lietuvos institucijų suteikta</w:t>
            </w:r>
            <w:r>
              <w:t xml:space="preserve"> pagalba skelbiama neteisėta ir nesuderinama su vidaus rinka. Nauja valstybės pagalba negali būti teikiama, iki bus grąžinta neteisėta ir nesuderinama su vidaus rinka Lietuvoje gauta valstybės pagalba; </w:t>
            </w:r>
          </w:p>
          <w:p w14:paraId="5E9FBD1B" w14:textId="77777777" w:rsidR="00BB48CE" w:rsidRDefault="00000000">
            <w:pPr>
              <w:jc w:val="both"/>
            </w:pPr>
            <w:r>
              <w:t xml:space="preserve">8.3.3. jei ji neturi skatinamojo poveikio, nustatyto Reglamento </w:t>
            </w:r>
            <w:hyperlink r:id="rId20" w:tgtFrame="_blank" w:history="1">
              <w:r>
                <w:rPr>
                  <w:color w:val="0563C1" w:themeColor="hyperlink"/>
                  <w:u w:val="single"/>
                </w:rPr>
                <w:t>(ES) Nr. 651/2014</w:t>
              </w:r>
            </w:hyperlink>
            <w:r>
              <w:t xml:space="preserve"> 6 straipsnyje;</w:t>
            </w:r>
          </w:p>
          <w:p w14:paraId="3126A9E3" w14:textId="77777777" w:rsidR="00BB48CE" w:rsidRDefault="00000000">
            <w:pPr>
              <w:jc w:val="both"/>
            </w:pPr>
            <w:r>
              <w:t xml:space="preserve">8.3.4. jei ji neatitinka visų Reglamento </w:t>
            </w:r>
            <w:hyperlink r:id="rId21" w:tgtFrame="_blank" w:history="1">
              <w:r>
                <w:rPr>
                  <w:color w:val="0563C1" w:themeColor="hyperlink"/>
                  <w:u w:val="single"/>
                </w:rPr>
                <w:t>(ES) Nr. 651/2014</w:t>
              </w:r>
            </w:hyperlink>
            <w:r>
              <w:t xml:space="preserve"> 41 straipsnio nuostatų.</w:t>
            </w:r>
          </w:p>
          <w:p w14:paraId="33502901" w14:textId="77777777" w:rsidR="00BB48CE" w:rsidRDefault="00000000">
            <w:pPr>
              <w:jc w:val="both"/>
            </w:pPr>
            <w:r>
              <w:t xml:space="preserve">8.4. Valstybės pagalba, kurios tinkamas finansuoti išlaidas galima nustatyti ir kuriai pagal Reglamentą </w:t>
            </w:r>
            <w:hyperlink r:id="rId22" w:tgtFrame="_blank" w:history="1">
              <w:r>
                <w:rPr>
                  <w:color w:val="0563C1" w:themeColor="hyperlink"/>
                  <w:u w:val="single"/>
                </w:rPr>
                <w:t>(ES) Nr. 651/2014</w:t>
              </w:r>
            </w:hyperlink>
            <w:r>
              <w:t xml:space="preserve"> taikoma išimtis, gali būti sumuojama su bet kokia kita valstybės pagalba arba </w:t>
            </w:r>
            <w:r>
              <w:rPr>
                <w:i/>
                <w:iCs/>
              </w:rPr>
              <w:t>de minimis</w:t>
            </w:r>
            <w:r>
              <w:t>, jei tos veiklos yra susijusios su skirtingomis tinkamomis finansuoti išlaidomis, kurias galima nustatyti.</w:t>
            </w:r>
          </w:p>
          <w:p w14:paraId="2541E667" w14:textId="77777777" w:rsidR="00BB48CE" w:rsidRDefault="00000000">
            <w:pPr>
              <w:jc w:val="both"/>
            </w:pPr>
            <w:r>
              <w:t>8.5. Agentūra elektroniniu paštu per 10 darbo dienų nuo Agentūros direktoriaus įsakymo dėl finansavimo skyrimo pasirašymo informuoja Aplinkos ministeriją apie pagalbą, viršijančią 500 000 eurų, nurodydama pareiškėjo pavadinimą, pareiškėjo įmonės dydį, skirtą dotaciją.</w:t>
            </w:r>
          </w:p>
          <w:p w14:paraId="6C30CB7E" w14:textId="77777777" w:rsidR="00BB48CE" w:rsidRDefault="00000000">
            <w:pPr>
              <w:jc w:val="both"/>
            </w:pPr>
            <w:r>
              <w:t xml:space="preserve">8.6. Pagal Reglamento </w:t>
            </w:r>
            <w:hyperlink r:id="rId23" w:tgtFrame="_blank" w:history="1">
              <w:r>
                <w:rPr>
                  <w:color w:val="0563C1" w:themeColor="hyperlink"/>
                  <w:u w:val="single"/>
                </w:rPr>
                <w:t>(ES) Nr. 651/2014</w:t>
              </w:r>
            </w:hyperlink>
            <w:r>
              <w:t xml:space="preserve"> 9 straipsnio reikalavimus informaciją apie  kiekvieną skirtą individualios pagalbos sumą, viršijančią 100 000 eurų, arba, jeigu pagalbos gavėjas vykdo veiklą pirminės žemės ūkio produktų gamybos srityje, viršijančią 10 000  eurų, per 6 mėnesius nuo jos suteikimo dienos reikia paskelbti Europos Komisijos valstybės pagalbos skaidrumo svetainėje. </w:t>
            </w:r>
          </w:p>
          <w:p w14:paraId="26FB84F4" w14:textId="77777777" w:rsidR="00BB48CE" w:rsidRDefault="00000000">
            <w:pPr>
              <w:jc w:val="both"/>
            </w:pPr>
            <w:r>
              <w:lastRenderedPageBreak/>
              <w:t>8.7.</w:t>
            </w:r>
            <w:r>
              <w:rPr>
                <w:vertAlign w:val="superscript"/>
              </w:rPr>
              <w:t> </w:t>
            </w:r>
            <w:r>
              <w:t xml:space="preserve">Agentūra pagal Reglamento </w:t>
            </w:r>
            <w:hyperlink r:id="rId24" w:tgtFrame="_blank" w:history="1">
              <w:r>
                <w:rPr>
                  <w:color w:val="0563C1" w:themeColor="hyperlink"/>
                  <w:u w:val="single"/>
                </w:rPr>
                <w:t>(ES) Nr. 651/2014</w:t>
              </w:r>
            </w:hyperlink>
            <w:r>
              <w:t xml:space="preserve"> 7 ir 12 straipsnių nuostatas vykdo pagalbos skaičiavimus, suteikimo kontrolę ir stebėseną, saugo išsamius suteiktos paramos duomenis ir dokumentus. Dokumentai, susiję su sprendimu skirti finansinę paramą ir šios paramos išmokėjimu, saugomi Agentūroje 10 metų nuo paskutinės finansinės paramos suteikimo dienos.</w:t>
            </w:r>
          </w:p>
          <w:p w14:paraId="1A2858F0" w14:textId="77777777" w:rsidR="00BB48CE" w:rsidRDefault="00000000">
            <w:pPr>
              <w:jc w:val="both"/>
            </w:pPr>
            <w:r>
              <w:t>8.8. Prieš suteikdama valstybės pagalbą Agentūra ūkio subjekto vykdomą ūkinę (ekonominę) veiklą ir ryšius su kitais ūkio subjektais, siekdama įvertinti įmonės dydį, patikrina VĮ Registrų centro registruose, Valstybės duomenų agentūros oficialiosios statistikos portale, Valstybinės mokesčių inspekcijos informacinėse sistemose.</w:t>
            </w:r>
          </w:p>
          <w:p w14:paraId="18E8AFEE" w14:textId="77777777" w:rsidR="00BB48CE" w:rsidRDefault="00000000">
            <w:pPr>
              <w:jc w:val="both"/>
            </w:pPr>
            <w:r>
              <w:t xml:space="preserve">8.9. Priėmusi sprendimą skirti dotaciją, Agentūra duomenis apie suteiktą valstybės pagalbą pateikia Suteiktos valstybės pagalbos ir nereikšmingos </w:t>
            </w:r>
            <w:r>
              <w:rPr>
                <w:i/>
                <w:iCs/>
              </w:rPr>
              <w:t>(de minimis)</w:t>
            </w:r>
            <w:r>
              <w:t xml:space="preserve"> pagalbos registrui Suteiktos valstybės pagalbos ir nereikšmingos </w:t>
            </w:r>
            <w:r>
              <w:rPr>
                <w:i/>
                <w:iCs/>
              </w:rPr>
              <w:t xml:space="preserve">(de minimis) </w:t>
            </w:r>
            <w:r>
              <w:t xml:space="preserve">pagalbos registro informacinės sistemos nuostatų, patvirtintų Lietuvos Respublikos konkurencijos tarybos 2026 m. balandžio 28 d. nutarimu Nr. 1S-45(2026) „Dėl Suteiktos valstybės pagalbos ir nereikšmingos </w:t>
            </w:r>
            <w:r>
              <w:rPr>
                <w:i/>
                <w:iCs/>
              </w:rPr>
              <w:t>(de minimis)</w:t>
            </w:r>
            <w:r>
              <w:t xml:space="preserve"> pagalbos registro informacinės sistemos nuostatų patvirtinimo“, nustatyta tvarka.</w:t>
            </w:r>
          </w:p>
          <w:p w14:paraId="31B1EE8A" w14:textId="77777777" w:rsidR="00BB48CE" w:rsidRDefault="00000000">
            <w:pPr>
              <w:jc w:val="both"/>
            </w:pPr>
            <w:r>
              <w:t>8.10. P</w:t>
            </w:r>
            <w:r>
              <w:rPr>
                <w:szCs w:val="24"/>
              </w:rPr>
              <w:t>aaiškėjus, kad buvo suteikta neteisėta ir (arba) nesuderinama pagalba, vadovaujantis Lietuvos Respublikos konkurencijos įstatymo 55</w:t>
            </w:r>
            <w:r>
              <w:rPr>
                <w:szCs w:val="24"/>
                <w:vertAlign w:val="superscript"/>
              </w:rPr>
              <w:t>1</w:t>
            </w:r>
            <w:r>
              <w:rPr>
                <w:szCs w:val="24"/>
              </w:rPr>
              <w:t> straipsnio nuostatomis, pagalbos gavėjas privalo jam išmokėtą pagalbos sumą sugrąžinti savanoriškai arba ši suma išieškoma ne ginčo tvarka.</w:t>
            </w:r>
          </w:p>
        </w:tc>
      </w:tr>
      <w:tr w:rsidR="00BB48CE" w14:paraId="0C6FA6D5" w14:textId="77777777">
        <w:tc>
          <w:tcPr>
            <w:tcW w:w="5000" w:type="pct"/>
          </w:tcPr>
          <w:p w14:paraId="63AEACCF" w14:textId="77777777" w:rsidR="00BB48CE" w:rsidRDefault="00000000">
            <w:pPr>
              <w:jc w:val="both"/>
              <w:rPr>
                <w:b/>
                <w:bCs/>
              </w:rPr>
            </w:pPr>
            <w:r>
              <w:rPr>
                <w:b/>
                <w:bCs/>
              </w:rPr>
              <w:t xml:space="preserve">9. Projektų atrankos kriterijai </w:t>
            </w:r>
          </w:p>
          <w:p w14:paraId="3F2869CD" w14:textId="77777777" w:rsidR="00BB48CE" w:rsidRDefault="00000000">
            <w:pPr>
              <w:jc w:val="both"/>
              <w:rPr>
                <w:i/>
                <w:szCs w:val="24"/>
              </w:rPr>
            </w:pPr>
            <w:r>
              <w:rPr>
                <w:bCs/>
                <w:szCs w:val="24"/>
              </w:rPr>
              <w:t>(</w:t>
            </w:r>
            <w:r>
              <w:rPr>
                <w:iCs/>
                <w:color w:val="000000"/>
                <w:szCs w:val="24"/>
              </w:rPr>
              <w:t>Kiekvienas projektas turi atitikti Projektų taisyklių 7 priede nustatytus projektų bendruosius atrankos kriterijus.)</w:t>
            </w:r>
          </w:p>
        </w:tc>
      </w:tr>
      <w:tr w:rsidR="00BB48CE" w14:paraId="2149CC6D" w14:textId="77777777">
        <w:trPr>
          <w:trHeight w:val="1975"/>
        </w:trPr>
        <w:tc>
          <w:tcPr>
            <w:tcW w:w="5000" w:type="pct"/>
          </w:tcPr>
          <w:tbl>
            <w:tblPr>
              <w:tblW w:w="9396" w:type="dxa"/>
              <w:tblLook w:val="00A0" w:firstRow="1" w:lastRow="0" w:firstColumn="1" w:lastColumn="0" w:noHBand="0" w:noVBand="0"/>
            </w:tblPr>
            <w:tblGrid>
              <w:gridCol w:w="570"/>
              <w:gridCol w:w="1363"/>
              <w:gridCol w:w="1496"/>
              <w:gridCol w:w="3147"/>
              <w:gridCol w:w="1390"/>
              <w:gridCol w:w="1430"/>
            </w:tblGrid>
            <w:tr w:rsidR="00BB48CE" w14:paraId="7DF31236" w14:textId="77777777">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325FE630" w14:textId="77777777" w:rsidR="00BB48CE" w:rsidRDefault="00000000">
                  <w:pPr>
                    <w:jc w:val="center"/>
                    <w:rPr>
                      <w:b/>
                      <w:bCs/>
                      <w:szCs w:val="24"/>
                    </w:rPr>
                  </w:pPr>
                  <w:r>
                    <w:rPr>
                      <w:b/>
                      <w:bCs/>
                      <w:szCs w:val="24"/>
                    </w:rPr>
                    <w:t>Eil.</w:t>
                  </w:r>
                </w:p>
                <w:p w14:paraId="240E8ABE" w14:textId="77777777" w:rsidR="00BB48CE" w:rsidRDefault="00000000">
                  <w:pPr>
                    <w:jc w:val="center"/>
                    <w:rPr>
                      <w:b/>
                      <w:bCs/>
                      <w:szCs w:val="24"/>
                    </w:rPr>
                  </w:pPr>
                  <w:r>
                    <w:rPr>
                      <w:b/>
                      <w:bCs/>
                      <w:szCs w:val="24"/>
                    </w:rPr>
                    <w:t>Nr.</w:t>
                  </w:r>
                </w:p>
              </w:tc>
              <w:tc>
                <w:tcPr>
                  <w:tcW w:w="13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5CED638D" w14:textId="77777777" w:rsidR="00BB48CE" w:rsidRDefault="00000000">
                  <w:pPr>
                    <w:jc w:val="center"/>
                    <w:rPr>
                      <w:b/>
                      <w:bCs/>
                      <w:szCs w:val="24"/>
                    </w:rPr>
                  </w:pPr>
                  <w:r>
                    <w:rPr>
                      <w:b/>
                      <w:bCs/>
                      <w:szCs w:val="24"/>
                    </w:rPr>
                    <w:t>Kriterijaus tipas</w:t>
                  </w:r>
                </w:p>
              </w:tc>
              <w:tc>
                <w:tcPr>
                  <w:tcW w:w="12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1A1111D5" w14:textId="77777777" w:rsidR="00BB48CE" w:rsidRDefault="00000000">
                  <w:pPr>
                    <w:jc w:val="center"/>
                    <w:rPr>
                      <w:b/>
                      <w:bCs/>
                      <w:szCs w:val="24"/>
                    </w:rPr>
                  </w:pPr>
                  <w:r>
                    <w:rPr>
                      <w:b/>
                      <w:bCs/>
                      <w:szCs w:val="24"/>
                    </w:rPr>
                    <w:t>Kriterijus</w:t>
                  </w:r>
                </w:p>
              </w:tc>
              <w:tc>
                <w:tcPr>
                  <w:tcW w:w="3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1BE5EAA7" w14:textId="77777777" w:rsidR="00BB48CE" w:rsidRDefault="00000000">
                  <w:pPr>
                    <w:jc w:val="center"/>
                    <w:rPr>
                      <w:b/>
                      <w:bCs/>
                      <w:szCs w:val="24"/>
                    </w:rPr>
                  </w:pPr>
                  <w:r>
                    <w:rPr>
                      <w:b/>
                      <w:bCs/>
                      <w:szCs w:val="24"/>
                    </w:rPr>
                    <w:t>Kriterijaus vertinimo metodas</w:t>
                  </w:r>
                </w:p>
              </w:tc>
              <w:tc>
                <w:tcPr>
                  <w:tcW w:w="1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5E67CD13" w14:textId="77777777" w:rsidR="00BB48CE" w:rsidRDefault="00000000">
                  <w:pPr>
                    <w:jc w:val="center"/>
                    <w:rPr>
                      <w:b/>
                      <w:bCs/>
                      <w:szCs w:val="24"/>
                    </w:rPr>
                  </w:pPr>
                  <w:r>
                    <w:rPr>
                      <w:b/>
                      <w:bCs/>
                      <w:szCs w:val="24"/>
                    </w:rPr>
                    <w:t>Didžiausias galimas kriterijaus balas</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F334BE3" w14:textId="77777777" w:rsidR="00BB48CE" w:rsidRDefault="00000000">
                  <w:pPr>
                    <w:jc w:val="center"/>
                    <w:rPr>
                      <w:b/>
                      <w:bCs/>
                      <w:szCs w:val="24"/>
                    </w:rPr>
                  </w:pPr>
                  <w:r>
                    <w:rPr>
                      <w:b/>
                      <w:bCs/>
                      <w:szCs w:val="24"/>
                    </w:rPr>
                    <w:t>Kriterijaus svorio koeficientas</w:t>
                  </w:r>
                </w:p>
              </w:tc>
            </w:tr>
            <w:tr w:rsidR="00BB48CE" w14:paraId="319FF5CF" w14:textId="77777777">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E9E25" w14:textId="77777777" w:rsidR="00BB48CE" w:rsidRDefault="00000000">
                  <w:pPr>
                    <w:jc w:val="both"/>
                    <w:rPr>
                      <w:szCs w:val="24"/>
                    </w:rPr>
                  </w:pPr>
                  <w:r>
                    <w:rPr>
                      <w:szCs w:val="24"/>
                    </w:rPr>
                    <w:t>1.</w:t>
                  </w:r>
                </w:p>
              </w:tc>
              <w:tc>
                <w:tcPr>
                  <w:tcW w:w="1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D5ED72" w14:textId="77777777" w:rsidR="00BB48CE" w:rsidRDefault="00000000">
                  <w:pPr>
                    <w:jc w:val="both"/>
                    <w:rPr>
                      <w:szCs w:val="24"/>
                    </w:rPr>
                  </w:pPr>
                  <w:r>
                    <w:rPr>
                      <w:color w:val="000000"/>
                    </w:rPr>
                    <w:t>Prioritetinis</w:t>
                  </w:r>
                </w:p>
              </w:tc>
              <w:tc>
                <w:tcPr>
                  <w:tcW w:w="12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031FEF" w14:textId="77777777" w:rsidR="00BB48CE" w:rsidRDefault="00000000">
                  <w:pPr>
                    <w:jc w:val="both"/>
                    <w:rPr>
                      <w:szCs w:val="24"/>
                    </w:rPr>
                  </w:pPr>
                  <w:r>
                    <w:rPr>
                      <w:szCs w:val="24"/>
                    </w:rPr>
                    <w:t>Projekto efektyvumas</w:t>
                  </w:r>
                </w:p>
              </w:tc>
              <w:tc>
                <w:tcPr>
                  <w:tcW w:w="34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ECCE6A" w14:textId="77777777" w:rsidR="00BB48CE" w:rsidRDefault="00000000">
                  <w:pPr>
                    <w:jc w:val="both"/>
                  </w:pPr>
                  <w:r>
                    <w:t>85 balai skiriami efektyviausiam projektui, vertinamas vidutinis projekto efektas dotacijos (paramos) eurui (m</w:t>
                  </w:r>
                  <w:r>
                    <w:rPr>
                      <w:vertAlign w:val="superscript"/>
                    </w:rPr>
                    <w:t>3</w:t>
                  </w:r>
                  <w:r>
                    <w:t> biometano per metus / Eur dotacijos).</w:t>
                  </w:r>
                </w:p>
                <w:p w14:paraId="53B7BA5C" w14:textId="77777777" w:rsidR="00BB48CE" w:rsidRDefault="00000000">
                  <w:pPr>
                    <w:jc w:val="both"/>
                    <w:rPr>
                      <w:szCs w:val="24"/>
                    </w:rPr>
                  </w:pPr>
                  <w:r>
                    <w:rPr>
                      <w:szCs w:val="24"/>
                    </w:rPr>
                    <w:t>Projektai reitinguojami, maksimalus balų skaičius skiriamas efektyviausiam projektui, kitiems projektams atitinkama eilės tvarka skiriamas proporcingai mažesnis už efektyviausią projektą balų skaičius.</w:t>
                  </w:r>
                </w:p>
                <w:p w14:paraId="4A752D05" w14:textId="77777777" w:rsidR="00BB48CE" w:rsidRDefault="00000000">
                  <w:pPr>
                    <w:jc w:val="both"/>
                    <w:rPr>
                      <w:szCs w:val="24"/>
                    </w:rPr>
                  </w:pPr>
                  <w:r>
                    <w:rPr>
                      <w:szCs w:val="24"/>
                    </w:rPr>
                    <w:t>Biometano kiekis (m</w:t>
                  </w:r>
                  <w:r>
                    <w:rPr>
                      <w:szCs w:val="24"/>
                      <w:vertAlign w:val="superscript"/>
                    </w:rPr>
                    <w:t>3</w:t>
                  </w:r>
                  <w:r>
                    <w:rPr>
                      <w:szCs w:val="24"/>
                    </w:rPr>
                    <w:t xml:space="preserve">) apskaičiuojamas pagal PFSA </w:t>
                  </w:r>
                  <w:r>
                    <w:t xml:space="preserve">2.17.1.2 </w:t>
                  </w:r>
                  <w:r>
                    <w:rPr>
                      <w:szCs w:val="24"/>
                    </w:rPr>
                    <w:t>papunktį.</w:t>
                  </w:r>
                </w:p>
                <w:p w14:paraId="0C4CEB3E" w14:textId="77777777" w:rsidR="00BB48CE" w:rsidRDefault="00000000">
                  <w:pPr>
                    <w:jc w:val="both"/>
                    <w:rPr>
                      <w:szCs w:val="24"/>
                    </w:rPr>
                  </w:pPr>
                  <w:r>
                    <w:rPr>
                      <w:szCs w:val="24"/>
                    </w:rPr>
                    <w:t>Vertinimo balai apskaičiuojami pagal formulę:</w:t>
                  </w:r>
                </w:p>
                <w:p w14:paraId="7DE95581" w14:textId="77777777" w:rsidR="00BB48CE" w:rsidRDefault="00000000">
                  <w:pPr>
                    <w:jc w:val="center"/>
                    <w:rPr>
                      <w:szCs w:val="24"/>
                    </w:rPr>
                  </w:pPr>
                  <w:r>
                    <w:rPr>
                      <w:noProof/>
                      <w:szCs w:val="24"/>
                      <w:lang w:val="en-US"/>
                    </w:rPr>
                    <w:drawing>
                      <wp:inline distT="0" distB="0" distL="0" distR="0" wp14:anchorId="4D0EEA16" wp14:editId="50372DFA">
                        <wp:extent cx="927100" cy="342900"/>
                        <wp:effectExtent l="0" t="0" r="6350" b="0"/>
                        <wp:docPr id="1015617619" name="Picture 2">
                          <a:extLst xmlns:a="http://schemas.openxmlformats.org/drawingml/2006/main">
                            <a:ext uri="{FF2B5EF4-FFF2-40B4-BE49-F238E27FC236}">
                              <a16:creationId xmlns:a16="http://schemas.microsoft.com/office/drawing/2014/main" id="{E053C7DE-6ED3-4DB3-8A07-E4EE39356C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7100" cy="342900"/>
                                </a:xfrm>
                                <a:prstGeom prst="rect">
                                  <a:avLst/>
                                </a:prstGeom>
                                <a:noFill/>
                                <a:ln>
                                  <a:noFill/>
                                </a:ln>
                              </pic:spPr>
                            </pic:pic>
                          </a:graphicData>
                        </a:graphic>
                      </wp:inline>
                    </w:drawing>
                  </w:r>
                </w:p>
                <w:p w14:paraId="7B82279A" w14:textId="77777777" w:rsidR="00BB48CE" w:rsidRDefault="00000000">
                  <w:pPr>
                    <w:jc w:val="both"/>
                  </w:pPr>
                  <w:r>
                    <w:t>P</w:t>
                  </w:r>
                  <w:r>
                    <w:rPr>
                      <w:vertAlign w:val="subscript"/>
                    </w:rPr>
                    <w:t>i</w:t>
                  </w:r>
                  <w:r>
                    <w:t> – vertinamo projekto vidutinis efektas paramos eurui (m</w:t>
                  </w:r>
                  <w:r>
                    <w:rPr>
                      <w:vertAlign w:val="superscript"/>
                    </w:rPr>
                    <w:t>3</w:t>
                  </w:r>
                  <w:r>
                    <w:t> biometano per metus / Eur dotacijos);</w:t>
                  </w:r>
                </w:p>
                <w:p w14:paraId="4B3634F5" w14:textId="77777777" w:rsidR="00BB48CE" w:rsidRDefault="00000000">
                  <w:pPr>
                    <w:jc w:val="both"/>
                    <w:rPr>
                      <w:szCs w:val="24"/>
                    </w:rPr>
                  </w:pPr>
                  <w:r>
                    <w:rPr>
                      <w:szCs w:val="24"/>
                    </w:rPr>
                    <w:t>P</w:t>
                  </w:r>
                  <w:r>
                    <w:rPr>
                      <w:szCs w:val="24"/>
                      <w:vertAlign w:val="subscript"/>
                    </w:rPr>
                    <w:t>max</w:t>
                  </w:r>
                  <w:r>
                    <w:rPr>
                      <w:szCs w:val="24"/>
                    </w:rPr>
                    <w:t xml:space="preserve"> – visuose projektuose apskaičiuoto vidutinio efekto </w:t>
                  </w:r>
                  <w:r>
                    <w:rPr>
                      <w:szCs w:val="24"/>
                    </w:rPr>
                    <w:lastRenderedPageBreak/>
                    <w:t>paramos eurui didžiausia reikšmė.</w:t>
                  </w:r>
                </w:p>
              </w:tc>
              <w:tc>
                <w:tcPr>
                  <w:tcW w:w="1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A7823" w14:textId="77777777" w:rsidR="00BB48CE" w:rsidRDefault="00000000">
                  <w:pPr>
                    <w:jc w:val="center"/>
                    <w:rPr>
                      <w:szCs w:val="24"/>
                      <w:lang w:val="en-US"/>
                    </w:rPr>
                  </w:pPr>
                  <w:r>
                    <w:rPr>
                      <w:szCs w:val="24"/>
                      <w:lang w:val="en-US"/>
                    </w:rPr>
                    <w:lastRenderedPageBreak/>
                    <w:t>85</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FFCE74" w14:textId="77777777" w:rsidR="00BB48CE" w:rsidRDefault="00000000">
                  <w:pPr>
                    <w:jc w:val="center"/>
                    <w:rPr>
                      <w:szCs w:val="24"/>
                      <w:lang w:val="en-US"/>
                    </w:rPr>
                  </w:pPr>
                  <w:r>
                    <w:rPr>
                      <w:szCs w:val="24"/>
                      <w:lang w:val="en-US"/>
                    </w:rPr>
                    <w:t>20</w:t>
                  </w:r>
                </w:p>
              </w:tc>
            </w:tr>
            <w:tr w:rsidR="00BB48CE" w14:paraId="431820FC" w14:textId="77777777">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A5CC7B" w14:textId="77777777" w:rsidR="00BB48CE" w:rsidRDefault="00000000">
                  <w:pPr>
                    <w:jc w:val="both"/>
                    <w:rPr>
                      <w:szCs w:val="24"/>
                    </w:rPr>
                  </w:pPr>
                  <w:r>
                    <w:rPr>
                      <w:szCs w:val="24"/>
                    </w:rPr>
                    <w:t>2.</w:t>
                  </w:r>
                </w:p>
              </w:tc>
              <w:tc>
                <w:tcPr>
                  <w:tcW w:w="13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A2730F" w14:textId="77777777" w:rsidR="00BB48CE" w:rsidRDefault="00000000">
                  <w:pPr>
                    <w:jc w:val="both"/>
                    <w:rPr>
                      <w:szCs w:val="24"/>
                    </w:rPr>
                  </w:pPr>
                  <w:r>
                    <w:rPr>
                      <w:szCs w:val="24"/>
                    </w:rPr>
                    <w:t>Prioritetinis</w:t>
                  </w:r>
                </w:p>
              </w:tc>
              <w:tc>
                <w:tcPr>
                  <w:tcW w:w="12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4E144" w14:textId="77777777" w:rsidR="00BB48CE" w:rsidRDefault="00000000">
                  <w:pPr>
                    <w:jc w:val="both"/>
                    <w:rPr>
                      <w:szCs w:val="24"/>
                    </w:rPr>
                  </w:pPr>
                  <w:r>
                    <w:rPr>
                      <w:szCs w:val="24"/>
                    </w:rPr>
                    <w:t>Pasirengimas įgyvendinti projektą.</w:t>
                  </w:r>
                </w:p>
              </w:tc>
              <w:tc>
                <w:tcPr>
                  <w:tcW w:w="34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E2A6E0" w14:textId="77777777" w:rsidR="00BB48CE" w:rsidRDefault="00000000">
                  <w:pPr>
                    <w:jc w:val="both"/>
                    <w:rPr>
                      <w:szCs w:val="24"/>
                    </w:rPr>
                  </w:pPr>
                  <w:r>
                    <w:rPr>
                      <w:szCs w:val="24"/>
                    </w:rPr>
                    <w:t>15 balų suteikiama pareiškėjams, kurie PĮP teikimo Agentūrai metu turi statybą leidžiančius dokumentus, išduotus teisės aktų, reguliuojančių statybas, nustatyta tvarka.</w:t>
                  </w:r>
                </w:p>
              </w:tc>
              <w:tc>
                <w:tcPr>
                  <w:tcW w:w="1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28A98D" w14:textId="77777777" w:rsidR="00BB48CE" w:rsidRDefault="00000000">
                  <w:pPr>
                    <w:jc w:val="center"/>
                    <w:rPr>
                      <w:szCs w:val="24"/>
                    </w:rPr>
                  </w:pPr>
                  <w:r>
                    <w:rPr>
                      <w:szCs w:val="24"/>
                    </w:rPr>
                    <w:t>15</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FD7FAF" w14:textId="77777777" w:rsidR="00BB48CE" w:rsidRDefault="00000000">
                  <w:pPr>
                    <w:jc w:val="center"/>
                    <w:rPr>
                      <w:szCs w:val="24"/>
                    </w:rPr>
                  </w:pPr>
                  <w:r>
                    <w:rPr>
                      <w:szCs w:val="24"/>
                    </w:rPr>
                    <w:t>0</w:t>
                  </w:r>
                </w:p>
              </w:tc>
            </w:tr>
            <w:tr w:rsidR="00BB48CE" w14:paraId="324581AE" w14:textId="77777777">
              <w:tc>
                <w:tcPr>
                  <w:tcW w:w="657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B6372C" w14:textId="77777777" w:rsidR="00BB48CE" w:rsidRDefault="00000000">
                  <w:pPr>
                    <w:ind w:firstLine="3348"/>
                    <w:jc w:val="both"/>
                    <w:rPr>
                      <w:b/>
                      <w:bCs/>
                      <w:szCs w:val="24"/>
                    </w:rPr>
                  </w:pPr>
                  <w:r>
                    <w:rPr>
                      <w:b/>
                      <w:bCs/>
                    </w:rPr>
                    <w:t>Maksimali galima balų suma:</w:t>
                  </w:r>
                </w:p>
              </w:tc>
              <w:tc>
                <w:tcPr>
                  <w:tcW w:w="28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6F3B5F" w14:textId="77777777" w:rsidR="00BB48CE" w:rsidRDefault="00000000">
                  <w:pPr>
                    <w:ind w:firstLine="434"/>
                    <w:rPr>
                      <w:szCs w:val="24"/>
                    </w:rPr>
                  </w:pPr>
                  <w:r>
                    <w:t>100</w:t>
                  </w:r>
                </w:p>
              </w:tc>
            </w:tr>
          </w:tbl>
          <w:p w14:paraId="2F8CC5B5" w14:textId="77777777" w:rsidR="00BB48CE" w:rsidRDefault="00000000">
            <w:pPr>
              <w:jc w:val="both"/>
            </w:pPr>
            <w:r>
              <w:t xml:space="preserve">Mažiausia galima surinkti balų suma – 20. </w:t>
            </w:r>
          </w:p>
          <w:p w14:paraId="46896DE5" w14:textId="77777777" w:rsidR="00BB48CE" w:rsidRDefault="00000000">
            <w:pPr>
              <w:jc w:val="both"/>
            </w:pPr>
            <w:r>
              <w:t>Bendra balų suma apskaičiuojama sumuojant gautus balus pagal kiekvieną projektų prioritetinį atrankos kriterijų. Jei projektas vertinimo metu nesurenka šiame PFSA punkte nurodytos minimalios privalomos surinkti balų sumos, PĮP atmetamas. Kai projektams, surinkusiems vienodą galutinį balų skaičių, nepakanka pagal kvietimą teikti PĮP skirtos finansavimo lėšų sumos, pirmenybė teikiama projektams, surinkusiems daugiau balų pagal šiame PFSA punkte nurodytą pirmąjį prioritetinį atrankos kriterijų. Jeigu projektai pagal šį prioritetinį atrankos kriterijų įvertinti vienodai, pirmenybė suteikiama projektams, surinkusiems daugiau balų pagal kitą iš eilės šiame PFSA punkte nurodytą prioritetinį atrankos kriterijų. Jeigu projektams suteikti vienodi balai pagal visus šiame PFSA punkte nurodytus prioritetinius atrankos kriterijus, šie projektai nurodomi PĮP vertinimo ataskaitos sąraše „Projektai, kuriems rekomenduojama skirti finansavimą“ pagal PĮP pateikimo per APVIS laiką.</w:t>
            </w:r>
          </w:p>
        </w:tc>
      </w:tr>
      <w:tr w:rsidR="00BB48CE" w14:paraId="173FB2EA" w14:textId="77777777">
        <w:trPr>
          <w:trHeight w:val="248"/>
        </w:trPr>
        <w:tc>
          <w:tcPr>
            <w:tcW w:w="5000" w:type="pct"/>
          </w:tcPr>
          <w:p w14:paraId="27342A18" w14:textId="77777777" w:rsidR="00BB48CE" w:rsidRDefault="00000000">
            <w:pPr>
              <w:jc w:val="both"/>
              <w:rPr>
                <w:b/>
                <w:bCs/>
                <w:iCs/>
                <w:color w:val="808080"/>
                <w:szCs w:val="24"/>
              </w:rPr>
            </w:pPr>
            <w:r>
              <w:rPr>
                <w:b/>
                <w:bCs/>
                <w:iCs/>
                <w:color w:val="000000"/>
                <w:szCs w:val="24"/>
              </w:rPr>
              <w:t xml:space="preserve">10. </w:t>
            </w:r>
            <w:r>
              <w:rPr>
                <w:b/>
                <w:szCs w:val="22"/>
              </w:rPr>
              <w:t xml:space="preserve">Jungtinio projekto projektų atrankos kriterijai </w:t>
            </w:r>
          </w:p>
        </w:tc>
      </w:tr>
      <w:tr w:rsidR="00BB48CE" w14:paraId="26CACA8F" w14:textId="77777777">
        <w:trPr>
          <w:trHeight w:val="137"/>
        </w:trPr>
        <w:tc>
          <w:tcPr>
            <w:tcW w:w="5000" w:type="pct"/>
          </w:tcPr>
          <w:p w14:paraId="01BF6678" w14:textId="77777777" w:rsidR="00BB48CE" w:rsidRDefault="00000000">
            <w:pPr>
              <w:jc w:val="both"/>
              <w:rPr>
                <w:iCs/>
                <w:szCs w:val="24"/>
              </w:rPr>
            </w:pPr>
            <w:r>
              <w:rPr>
                <w:iCs/>
                <w:szCs w:val="24"/>
              </w:rPr>
              <w:t>Netaikoma.</w:t>
            </w:r>
          </w:p>
        </w:tc>
      </w:tr>
      <w:tr w:rsidR="00BB48CE" w14:paraId="6C89D554" w14:textId="77777777">
        <w:tc>
          <w:tcPr>
            <w:tcW w:w="5000" w:type="pct"/>
          </w:tcPr>
          <w:p w14:paraId="4CC995EF" w14:textId="77777777" w:rsidR="00BB48CE" w:rsidRDefault="00000000">
            <w:pPr>
              <w:rPr>
                <w:b/>
                <w:szCs w:val="24"/>
              </w:rPr>
            </w:pPr>
            <w:r>
              <w:rPr>
                <w:b/>
                <w:szCs w:val="24"/>
              </w:rPr>
              <w:t>11. Reikalavimai įgyvendinus projektų veiklas</w:t>
            </w:r>
          </w:p>
        </w:tc>
      </w:tr>
      <w:tr w:rsidR="00BB48CE" w14:paraId="008C0266" w14:textId="77777777">
        <w:tc>
          <w:tcPr>
            <w:tcW w:w="5000" w:type="pct"/>
          </w:tcPr>
          <w:p w14:paraId="7EC9D9BE" w14:textId="77777777" w:rsidR="00BB48CE" w:rsidRDefault="00000000">
            <w:pPr>
              <w:jc w:val="both"/>
              <w:rPr>
                <w:iCs/>
                <w:szCs w:val="24"/>
              </w:rPr>
            </w:pPr>
            <w:r>
              <w:rPr>
                <w:iCs/>
                <w:szCs w:val="24"/>
              </w:rPr>
              <w:t>11.1. Investicijų tęstinumas turi būti užtikrintas 5 metus po projekto finansavimo pabaigos. Visą investicijų tęstinumo laikotarpį projekto vykdytojai:</w:t>
            </w:r>
          </w:p>
          <w:p w14:paraId="20B35353" w14:textId="77777777" w:rsidR="00BB48CE" w:rsidRDefault="00000000">
            <w:pPr>
              <w:jc w:val="both"/>
              <w:rPr>
                <w:iCs/>
                <w:szCs w:val="24"/>
              </w:rPr>
            </w:pPr>
            <w:r>
              <w:rPr>
                <w:iCs/>
                <w:szCs w:val="24"/>
              </w:rPr>
              <w:t>11.1.1. negali pakeisti infrastruktūros objekto nuosavybės teisių, jei dėl to įmonė arba viešojo sektoriaus institucija įgytų nederamą pranašumą; </w:t>
            </w:r>
          </w:p>
          <w:p w14:paraId="1A905007" w14:textId="77777777" w:rsidR="00BB48CE" w:rsidRDefault="00000000">
            <w:pPr>
              <w:jc w:val="both"/>
              <w:rPr>
                <w:szCs w:val="24"/>
              </w:rPr>
            </w:pPr>
            <w:r>
              <w:rPr>
                <w:szCs w:val="24"/>
              </w:rPr>
              <w:t>11.1.2.</w:t>
            </w:r>
            <w:r>
              <w:rPr>
                <w:i/>
                <w:iCs/>
                <w:szCs w:val="24"/>
              </w:rPr>
              <w:t xml:space="preserve"> </w:t>
            </w:r>
            <w:r>
              <w:rPr>
                <w:szCs w:val="24"/>
              </w:rPr>
              <w:t>negali iš esmės pakeisti veiklos, kuriai buvo skirtos investicijos, pobūdžio, tikslų arba vykdymo sąlygų, jei tai pakenktų projekto tikslams. </w:t>
            </w:r>
          </w:p>
          <w:p w14:paraId="2D5ACADA" w14:textId="77777777" w:rsidR="00BB48CE" w:rsidRDefault="00000000">
            <w:pPr>
              <w:jc w:val="both"/>
              <w:rPr>
                <w:iCs/>
                <w:szCs w:val="24"/>
              </w:rPr>
            </w:pPr>
            <w:r>
              <w:rPr>
                <w:iCs/>
                <w:szCs w:val="24"/>
              </w:rPr>
              <w:t>11.2. Jeigu projekto vykdytojas nesilaiko investicijų tęstinumo reikalavimo, nustatyto PFSA 11.1 papunktyje, jis turi grąžinti projektui finansuoti išmokėtų lėšų sumą, proporcingą reikalavimo nesilaikymo laikotarpiui. </w:t>
            </w:r>
          </w:p>
          <w:p w14:paraId="0F24CA6A" w14:textId="77777777" w:rsidR="00BB48CE" w:rsidRDefault="00000000">
            <w:pPr>
              <w:jc w:val="both"/>
              <w:rPr>
                <w:iCs/>
                <w:szCs w:val="24"/>
              </w:rPr>
            </w:pPr>
            <w:r>
              <w:rPr>
                <w:iCs/>
                <w:szCs w:val="24"/>
              </w:rPr>
              <w:t>11.3. Ne vėliau kaip iki einamųjų metų sausio 20 dienos</w:t>
            </w:r>
            <w:r>
              <w:rPr>
                <w:i/>
                <w:iCs/>
                <w:szCs w:val="24"/>
              </w:rPr>
              <w:t> </w:t>
            </w:r>
            <w:r>
              <w:rPr>
                <w:iCs/>
                <w:szCs w:val="24"/>
              </w:rPr>
              <w:t>Agentūra pateikia Aplinkos ministerijai apibendrintą informaciją apie Programos lėšomis finansuotus projektus, ŠESD sutaupymą.</w:t>
            </w:r>
          </w:p>
          <w:p w14:paraId="11760759" w14:textId="77777777" w:rsidR="00BB48CE" w:rsidRDefault="00000000">
            <w:pPr>
              <w:jc w:val="both"/>
            </w:pPr>
            <w:r>
              <w:t>11.4. Pareiškėjai, įgyvendinę projektus, projekto įgyvendinimo vietoje privalo įrengti informacinę lentą (joje turi būti nurodytas projekto pavadinimas, Aplinkos ministerijos ir Agentūros logotipai, kad projektas finansuotas Programos lėšomis, projekto užbaigimo metai). Taip pat pareiškėjas privalo paskelbti naujieną, informaciją apie įgyvendintą projektą interneto svetainėje (savo, savivaldybės ar žiniasklaidos) nurodydamas projekto pavadinimą, gautą dotaciją projektui įgyvendinti, finansavimo šaltinį.</w:t>
            </w:r>
          </w:p>
          <w:p w14:paraId="780495B4" w14:textId="77777777" w:rsidR="00BB48CE" w:rsidRDefault="00000000">
            <w:pPr>
              <w:jc w:val="both"/>
              <w:rPr>
                <w:iCs/>
                <w:szCs w:val="24"/>
              </w:rPr>
            </w:pPr>
            <w:r>
              <w:rPr>
                <w:iCs/>
                <w:szCs w:val="24"/>
              </w:rPr>
              <w:t>11.5. Agentūra per 5 metų laikotarpį nuo galutiniame mokėjimo prašyme nurodytos sumos apmokėjimo dienos turi teisę bet kada atlikti patikras projekto įgyvendinimo vietoje. Pareiškėjui nevykdant PFSA nustatytų reikalavimų, Agentūra pareikalauja iš pareiškėjo grąžinti jam išmokėtą dotaciją.</w:t>
            </w:r>
          </w:p>
          <w:p w14:paraId="62F01951" w14:textId="77777777" w:rsidR="00BB48CE" w:rsidRDefault="00000000">
            <w:pPr>
              <w:jc w:val="both"/>
              <w:rPr>
                <w:iCs/>
                <w:szCs w:val="24"/>
              </w:rPr>
            </w:pPr>
            <w:r>
              <w:rPr>
                <w:iCs/>
                <w:szCs w:val="24"/>
              </w:rPr>
              <w:t xml:space="preserve">11.6. Už suteiktas dotacijos lėšas materialųjį turtą pareiškėjas įsigyja savo nuosavybėn ir PĮP, projektų finansavimo sutartyje nustatytais tikslais projekto įgyvendinimo metu ir 5 metus po projekto įgyvendinimo termino be Agentūros sutikimo neperleidžia, neparduoda, neįkeičia ar kitokiu būdu nesuvaržo daiktinių teisių į šį turtą. Pareiškėjui pažeidus šį punktą, Agentūra susigrąžina dotaciją proporcingai neišlaikytam investicijų tęstinumo laikotarpiui (metais). </w:t>
            </w:r>
            <w:r>
              <w:rPr>
                <w:iCs/>
                <w:szCs w:val="24"/>
              </w:rPr>
              <w:lastRenderedPageBreak/>
              <w:t>Sutikimas įkeisti ar kitaip suvaržyti turtą, kuris įsigytas ar bus įsigytas dotacijos lėšomis, pareiškėjui išduodamas Agentūros nustatyta tvarka.</w:t>
            </w:r>
          </w:p>
          <w:p w14:paraId="30082D3E" w14:textId="77777777" w:rsidR="00BB48CE" w:rsidRDefault="00000000">
            <w:pPr>
              <w:jc w:val="both"/>
              <w:rPr>
                <w:iCs/>
                <w:szCs w:val="24"/>
              </w:rPr>
            </w:pPr>
            <w:r>
              <w:rPr>
                <w:iCs/>
                <w:szCs w:val="24"/>
              </w:rPr>
              <w:t>11.7. Visi su projekto įgyvendinimu susiję dokumentai turi būti saugomi pareiškėjo ne trumpiau kaip 10 metų pasibaigus projekto įgyvendinimo laikotarpiui.</w:t>
            </w:r>
          </w:p>
          <w:p w14:paraId="44BC5DD1" w14:textId="77777777" w:rsidR="00BB48CE" w:rsidRDefault="00000000">
            <w:pPr>
              <w:jc w:val="both"/>
              <w:rPr>
                <w:iCs/>
                <w:szCs w:val="24"/>
              </w:rPr>
            </w:pPr>
            <w:r>
              <w:rPr>
                <w:iCs/>
                <w:szCs w:val="24"/>
              </w:rPr>
              <w:t>11.8. Kai patvirtinamas projekto galutinio mokėjimo prašymas, nuo kito mėnesio 1 dienos pareiškėjas 12 mėnesių vykdo ŠESD sumažinimo stebėseną. Pasibaigus šiam stebėsenos laikotarpiui pareiškėjas per 20 darbo dienų privalo Agentūrai pateikti išmetamų ŠESD kiekio sumažinimo ataskaitą. Šioje ataskaitoje nurodomas per 12 stebėsenos laikotarpio mėnesių sutaupytas ŠESD kiekis, kuris turi būti pagrįstas apskaitos prietaisų parodymais ir (ar) skaičiavimų rezultatais. Projekto aplinkosaugos rodiklių reikšmės pasiekimas procentais apskaičiuojamas palyginus PĮP numatytus aplinkosaugos rodiklius su faktiškai pasiektais aplinkosaugos rodikliais per 12 mėnesių nuo ŠESD sumažinimo stebėsenos laikotarpio pradžios.</w:t>
            </w:r>
            <w:r>
              <w:rPr>
                <w:i/>
                <w:iCs/>
                <w:szCs w:val="24"/>
              </w:rPr>
              <w:t> </w:t>
            </w:r>
            <w:r>
              <w:rPr>
                <w:iCs/>
                <w:szCs w:val="24"/>
              </w:rPr>
              <w:t>Teikiama ataskaita turi būti patvirtinta nepriklausomo vertintojo (Nacionalinio akreditacijos biuro akredituota įstaiga ar kitos Europos Sąjungos atsakingosios institucijos akredituota įstaiga, turinti teisę tikrinti įrenginių išmetamų ŠESD kiekio stebėsenos ataskaitas). Kai finansavimo sutartyje nustatytos projekto rodiklių reikšmės nepasiektos, dotacijos suma tikslinama tokia tvarka:</w:t>
            </w:r>
          </w:p>
          <w:p w14:paraId="096800E8" w14:textId="77777777" w:rsidR="00BB48CE" w:rsidRDefault="00000000">
            <w:pPr>
              <w:jc w:val="both"/>
              <w:rPr>
                <w:iCs/>
                <w:szCs w:val="24"/>
              </w:rPr>
            </w:pPr>
            <w:r>
              <w:rPr>
                <w:iCs/>
                <w:szCs w:val="24"/>
              </w:rPr>
              <w:t>11.8.1. Jeigu projekto aplinkosaugos rodiklių reikšmės pasiektos ne mažiau kaip 95 proc., pareiškėjui priklauso 100 proc. dotacijos sumos.</w:t>
            </w:r>
          </w:p>
          <w:p w14:paraId="75F77FEC" w14:textId="77777777" w:rsidR="00BB48CE" w:rsidRDefault="00000000">
            <w:pPr>
              <w:jc w:val="both"/>
              <w:rPr>
                <w:iCs/>
                <w:szCs w:val="24"/>
              </w:rPr>
            </w:pPr>
            <w:r>
              <w:rPr>
                <w:iCs/>
                <w:szCs w:val="24"/>
              </w:rPr>
              <w:t>11.8.2. Jeigu projekto aplinkosaugos rodiklių reikšmės pasiektos mažiau kaip 95 proc., bet ne mažiau kaip 80 proc., pareiškėjui priklauso 90 proc. dotacijos sumos.</w:t>
            </w:r>
          </w:p>
          <w:p w14:paraId="32F3710E" w14:textId="77777777" w:rsidR="00BB48CE" w:rsidRDefault="00000000">
            <w:pPr>
              <w:jc w:val="both"/>
              <w:rPr>
                <w:iCs/>
                <w:szCs w:val="24"/>
              </w:rPr>
            </w:pPr>
            <w:r>
              <w:rPr>
                <w:iCs/>
                <w:szCs w:val="24"/>
              </w:rPr>
              <w:t>11.8.3. Jeigu projekto aplinkosaugos rodiklių reikšmės pasiektos mažiau kaip 80 proc., bet ne mažiau kaip 65 proc., pareiškėjui priklauso 80 proc. dotacijos sumos.</w:t>
            </w:r>
          </w:p>
          <w:p w14:paraId="4044E45A" w14:textId="77777777" w:rsidR="00BB48CE" w:rsidRDefault="00000000">
            <w:pPr>
              <w:jc w:val="both"/>
              <w:rPr>
                <w:iCs/>
                <w:szCs w:val="24"/>
              </w:rPr>
            </w:pPr>
            <w:r>
              <w:rPr>
                <w:iCs/>
                <w:szCs w:val="24"/>
              </w:rPr>
              <w:t>11.8.4. Jeigu projekto aplinkosaugos rodiklių reikšmės pasiektos mažiau kaip 65 proc., bet ne mažiau kaip 50 proc., pareiškėjui priklauso 70 proc. dotacijos sumos.</w:t>
            </w:r>
          </w:p>
          <w:p w14:paraId="2DF9285D" w14:textId="77777777" w:rsidR="00BB48CE" w:rsidRDefault="00000000">
            <w:pPr>
              <w:jc w:val="both"/>
              <w:rPr>
                <w:iCs/>
                <w:szCs w:val="24"/>
              </w:rPr>
            </w:pPr>
            <w:r>
              <w:rPr>
                <w:iCs/>
                <w:szCs w:val="24"/>
              </w:rPr>
              <w:t>11.8.5. Jeigu projekto aplinkosaugos rodiklių reikšmės pasiektos mažiau kaip 50 proc., pareiškėjas privalo grąžinti visą išmokėtą dotacija.</w:t>
            </w:r>
          </w:p>
          <w:p w14:paraId="4A8E3F31" w14:textId="77777777" w:rsidR="00BB48CE" w:rsidRDefault="00000000">
            <w:pPr>
              <w:jc w:val="both"/>
              <w:rPr>
                <w:iCs/>
                <w:szCs w:val="24"/>
              </w:rPr>
            </w:pPr>
            <w:r>
              <w:rPr>
                <w:iCs/>
                <w:szCs w:val="24"/>
              </w:rPr>
              <w:t>11.9. Sprendimą dėl dotacijos patikslinimo priima Agentūros direktorius.</w:t>
            </w:r>
          </w:p>
          <w:p w14:paraId="4E1B189C" w14:textId="77777777" w:rsidR="00BB48CE" w:rsidRDefault="00000000">
            <w:pPr>
              <w:jc w:val="both"/>
              <w:rPr>
                <w:iCs/>
                <w:szCs w:val="24"/>
              </w:rPr>
            </w:pPr>
            <w:r>
              <w:rPr>
                <w:iCs/>
                <w:szCs w:val="24"/>
              </w:rPr>
              <w:t>11.10. Jeigu pareiškėjas, įgyvendindamas arba įgyvendinęs projektą, nesilaiko projekto finansavimo sutarties dėl dotacijos suteikimo pareiškėjui sąlygų, Agentūra atlieka pažeidimo tyrimą pagal Agentūros direktoriaus patvirtintą tvarką ir priima sprendimą dėl finansavimo sustabdymo, nutraukimo, sumažinimo ir (ar) išmokėtų lėšų ar jų dalies susigrąžinimo arba šių finansinių patikslinimų netaikymo.</w:t>
            </w:r>
          </w:p>
        </w:tc>
      </w:tr>
      <w:tr w:rsidR="00BB48CE" w14:paraId="66CD5D8D" w14:textId="77777777">
        <w:tc>
          <w:tcPr>
            <w:tcW w:w="5000" w:type="pct"/>
          </w:tcPr>
          <w:p w14:paraId="1644C1D9" w14:textId="77777777" w:rsidR="00BB48CE" w:rsidRDefault="00000000">
            <w:pPr>
              <w:jc w:val="both"/>
              <w:rPr>
                <w:b/>
                <w:szCs w:val="24"/>
              </w:rPr>
            </w:pPr>
            <w:r>
              <w:rPr>
                <w:b/>
                <w:szCs w:val="24"/>
              </w:rPr>
              <w:t>12. Kiti reikalavimai</w:t>
            </w:r>
          </w:p>
        </w:tc>
      </w:tr>
      <w:tr w:rsidR="00BB48CE" w14:paraId="39F396FC" w14:textId="77777777">
        <w:tc>
          <w:tcPr>
            <w:tcW w:w="5000" w:type="pct"/>
          </w:tcPr>
          <w:p w14:paraId="6F8AC6A5" w14:textId="77777777" w:rsidR="00BB48CE" w:rsidRDefault="00000000">
            <w:pPr>
              <w:jc w:val="both"/>
              <w:textAlignment w:val="baseline"/>
              <w:rPr>
                <w:b/>
                <w:color w:val="808080"/>
                <w:szCs w:val="24"/>
              </w:rPr>
            </w:pPr>
            <w:r>
              <w:rPr>
                <w:b/>
                <w:color w:val="808080"/>
                <w:szCs w:val="24"/>
              </w:rPr>
              <w:t>-</w:t>
            </w:r>
          </w:p>
        </w:tc>
      </w:tr>
      <w:tr w:rsidR="00BB48CE" w14:paraId="40EAE9B4" w14:textId="77777777">
        <w:tc>
          <w:tcPr>
            <w:tcW w:w="5000" w:type="pct"/>
          </w:tcPr>
          <w:p w14:paraId="50F422E1" w14:textId="77777777" w:rsidR="00BB48CE" w:rsidRDefault="00000000">
            <w:pPr>
              <w:rPr>
                <w:b/>
                <w:szCs w:val="24"/>
              </w:rPr>
            </w:pPr>
            <w:r>
              <w:rPr>
                <w:b/>
                <w:szCs w:val="24"/>
              </w:rPr>
              <w:t>IŠLAIDŲ TINKAMUMO FINANSUOTI REIKALAVIMAI</w:t>
            </w:r>
          </w:p>
        </w:tc>
      </w:tr>
      <w:tr w:rsidR="00BB48CE" w14:paraId="20BF70D0" w14:textId="77777777">
        <w:tc>
          <w:tcPr>
            <w:tcW w:w="5000" w:type="pct"/>
          </w:tcPr>
          <w:p w14:paraId="0F1481AD" w14:textId="77777777" w:rsidR="00BB48CE" w:rsidRDefault="00000000">
            <w:pPr>
              <w:jc w:val="both"/>
              <w:rPr>
                <w:b/>
                <w:szCs w:val="24"/>
                <w:highlight w:val="yellow"/>
              </w:rPr>
            </w:pPr>
            <w:r>
              <w:rPr>
                <w:b/>
                <w:szCs w:val="24"/>
              </w:rPr>
              <w:t>13. Išlaidų tinkamumo finansuoti reikalavimai</w:t>
            </w:r>
          </w:p>
        </w:tc>
      </w:tr>
      <w:tr w:rsidR="00BB48CE" w14:paraId="76461401" w14:textId="77777777">
        <w:tc>
          <w:tcPr>
            <w:tcW w:w="5000" w:type="pct"/>
          </w:tcPr>
          <w:p w14:paraId="6B57A06B" w14:textId="77777777" w:rsidR="00BB48CE" w:rsidRDefault="00000000">
            <w:pPr>
              <w:jc w:val="both"/>
            </w:pPr>
            <w:r>
              <w:t>13.1. Projekto išlaidos turi atitikti Projekto taisyklių VI skyriaus ir PFSA 13.4 ir 13.5 papunkčių reikalavimus.</w:t>
            </w:r>
          </w:p>
          <w:p w14:paraId="1BB2264E" w14:textId="77777777" w:rsidR="00BB48CE" w:rsidRDefault="00000000">
            <w:pPr>
              <w:jc w:val="both"/>
            </w:pPr>
            <w:r>
              <w:t>13.2. Netinkamos finansuoti išlaidos:</w:t>
            </w:r>
          </w:p>
          <w:p w14:paraId="1C743483" w14:textId="77777777" w:rsidR="00BB48CE" w:rsidRDefault="00000000">
            <w:pPr>
              <w:jc w:val="both"/>
              <w:rPr>
                <w:iCs/>
                <w:color w:val="000000"/>
                <w:szCs w:val="24"/>
                <w:shd w:val="clear" w:color="auto" w:fill="FFFFFF"/>
              </w:rPr>
            </w:pPr>
            <w:r>
              <w:rPr>
                <w:iCs/>
                <w:szCs w:val="24"/>
              </w:rPr>
              <w:t>13.2.1. pridėtinės</w:t>
            </w:r>
            <w:r>
              <w:rPr>
                <w:iCs/>
                <w:color w:val="000000"/>
                <w:szCs w:val="24"/>
                <w:shd w:val="clear" w:color="auto" w:fill="FFFFFF"/>
              </w:rPr>
              <w:t xml:space="preserve"> vertės mokestis;</w:t>
            </w:r>
          </w:p>
          <w:p w14:paraId="310F4594" w14:textId="77777777" w:rsidR="00BB48CE" w:rsidRDefault="00000000">
            <w:pPr>
              <w:jc w:val="both"/>
              <w:rPr>
                <w:color w:val="000000"/>
                <w:szCs w:val="24"/>
                <w:shd w:val="clear" w:color="auto" w:fill="FFFFFF"/>
              </w:rPr>
            </w:pPr>
            <w:r>
              <w:rPr>
                <w:color w:val="000000"/>
                <w:szCs w:val="24"/>
                <w:shd w:val="clear" w:color="auto" w:fill="FFFFFF"/>
              </w:rPr>
              <w:t>13.2.2. įgyvendinant projektą naudojamo ilgalaikio turto nusidėvėjimo (amortizacijos) sąnaudos;</w:t>
            </w:r>
          </w:p>
          <w:p w14:paraId="31ED1D40" w14:textId="77777777" w:rsidR="00BB48CE" w:rsidRDefault="00000000">
            <w:pPr>
              <w:jc w:val="both"/>
              <w:rPr>
                <w:color w:val="000000"/>
                <w:shd w:val="clear" w:color="auto" w:fill="FFFFFF"/>
              </w:rPr>
            </w:pPr>
            <w:r>
              <w:rPr>
                <w:shd w:val="clear" w:color="auto" w:fill="FFFFFF"/>
              </w:rPr>
              <w:t xml:space="preserve">13.2.3. biometano dujų gamybos įrenginių prijungimo prie gamtinių dujų tinklų išlaidos, išskyrus dujų </w:t>
            </w:r>
            <w:r>
              <w:t>kokybės matavimo ir užtikrinimo, apskaitos ir suslėgimo įrenginių įsigijimo, apskaitos, kokybės kontrolės, duomenų perdavimo įrangos ir įrengimo išlaidas, jeigu jos yra tiesiogiai patirtos pareiškėjo ir priklauso pareiškėjui;   </w:t>
            </w:r>
          </w:p>
          <w:p w14:paraId="7087FBF6" w14:textId="77777777" w:rsidR="00BB48CE" w:rsidRDefault="00000000">
            <w:pPr>
              <w:jc w:val="both"/>
              <w:rPr>
                <w:color w:val="000000"/>
                <w:shd w:val="clear" w:color="auto" w:fill="FFFFFF"/>
              </w:rPr>
            </w:pPr>
            <w:r>
              <w:rPr>
                <w:color w:val="000000"/>
                <w:shd w:val="clear" w:color="auto" w:fill="FFFFFF"/>
              </w:rPr>
              <w:t>13.2.4. transporto priemonių pirkimo išlaidos, lizingo (finansinės nuomos), eksploatavimo ir susijusios išlaidos;</w:t>
            </w:r>
          </w:p>
          <w:p w14:paraId="2BD9F2CC" w14:textId="77777777" w:rsidR="00BB48CE" w:rsidRDefault="00000000">
            <w:pPr>
              <w:jc w:val="both"/>
              <w:rPr>
                <w:color w:val="000000"/>
                <w:shd w:val="clear" w:color="auto" w:fill="FFFFFF"/>
              </w:rPr>
            </w:pPr>
            <w:r>
              <w:rPr>
                <w:color w:val="000000"/>
                <w:shd w:val="clear" w:color="auto" w:fill="FFFFFF"/>
              </w:rPr>
              <w:t>13.2.5. žemės pirkimo išlaidos;</w:t>
            </w:r>
          </w:p>
          <w:p w14:paraId="63443B46" w14:textId="77777777" w:rsidR="00BB48CE" w:rsidRDefault="00000000">
            <w:pPr>
              <w:jc w:val="both"/>
              <w:rPr>
                <w:color w:val="000000"/>
                <w:szCs w:val="24"/>
                <w:shd w:val="clear" w:color="auto" w:fill="FFFFFF"/>
              </w:rPr>
            </w:pPr>
            <w:r>
              <w:rPr>
                <w:color w:val="000000"/>
                <w:szCs w:val="24"/>
                <w:shd w:val="clear" w:color="auto" w:fill="FFFFFF"/>
              </w:rPr>
              <w:t>13.2.6. žemės nuomos išlaidos;</w:t>
            </w:r>
          </w:p>
          <w:p w14:paraId="4BA2CAFD" w14:textId="77777777" w:rsidR="00BB48CE" w:rsidRDefault="00000000">
            <w:pPr>
              <w:jc w:val="both"/>
              <w:rPr>
                <w:color w:val="000000"/>
                <w:szCs w:val="24"/>
                <w:shd w:val="clear" w:color="auto" w:fill="FFFFFF"/>
              </w:rPr>
            </w:pPr>
            <w:r>
              <w:rPr>
                <w:color w:val="000000"/>
                <w:szCs w:val="24"/>
                <w:shd w:val="clear" w:color="auto" w:fill="FFFFFF"/>
              </w:rPr>
              <w:t>13.2.7. projektą vykdančių ir (ar) projekto veiklose dalyvaujančių asmenų komandiruočių ir kelionių išlaidos;</w:t>
            </w:r>
          </w:p>
          <w:p w14:paraId="3F522E97" w14:textId="77777777" w:rsidR="00BB48CE" w:rsidRDefault="00000000">
            <w:pPr>
              <w:jc w:val="both"/>
              <w:rPr>
                <w:color w:val="000000"/>
                <w:szCs w:val="24"/>
                <w:shd w:val="clear" w:color="auto" w:fill="FFFFFF"/>
              </w:rPr>
            </w:pPr>
            <w:r>
              <w:rPr>
                <w:color w:val="000000"/>
                <w:szCs w:val="24"/>
                <w:shd w:val="clear" w:color="auto" w:fill="FFFFFF"/>
              </w:rPr>
              <w:t>13.2.8. baudos, bylinėjimosi išlaidos, delspinigiai</w:t>
            </w:r>
          </w:p>
          <w:p w14:paraId="4ED23929" w14:textId="77777777" w:rsidR="00BB48CE" w:rsidRDefault="00000000">
            <w:pPr>
              <w:jc w:val="both"/>
              <w:rPr>
                <w:color w:val="000000"/>
                <w:szCs w:val="24"/>
                <w:shd w:val="clear" w:color="auto" w:fill="FFFFFF"/>
              </w:rPr>
            </w:pPr>
            <w:r>
              <w:rPr>
                <w:color w:val="000000"/>
                <w:szCs w:val="24"/>
                <w:shd w:val="clear" w:color="auto" w:fill="FFFFFF"/>
              </w:rPr>
              <w:lastRenderedPageBreak/>
              <w:t>13.2.9. prijungimo prie dujų sistemos vamzdynų tiesimo išlaidos.</w:t>
            </w:r>
          </w:p>
          <w:p w14:paraId="71E7BFB8" w14:textId="77777777" w:rsidR="00BB48CE" w:rsidRDefault="00000000">
            <w:pPr>
              <w:jc w:val="both"/>
              <w:textAlignment w:val="baseline"/>
              <w:rPr>
                <w:lang w:eastAsia="lt-LT"/>
              </w:rPr>
            </w:pPr>
            <w:r>
              <w:rPr>
                <w:lang w:eastAsia="lt-LT"/>
              </w:rPr>
              <w:t>13.3. Didžiausia galima projekto finansuojamoji dalis sudaro: </w:t>
            </w:r>
          </w:p>
          <w:p w14:paraId="62B2F046" w14:textId="77777777" w:rsidR="00BB48CE" w:rsidRDefault="00000000">
            <w:pPr>
              <w:jc w:val="both"/>
              <w:textAlignment w:val="baseline"/>
              <w:rPr>
                <w:lang w:eastAsia="lt-LT"/>
              </w:rPr>
            </w:pPr>
            <w:r>
              <w:rPr>
                <w:lang w:eastAsia="lt-LT"/>
              </w:rPr>
              <w:t xml:space="preserve">13.3.1. </w:t>
            </w:r>
            <w:r>
              <w:rPr>
                <w:color w:val="000000"/>
                <w:lang w:eastAsia="lt-LT"/>
              </w:rPr>
              <w:t xml:space="preserve">Naujų biometano dujų gamybos įrenginių (biodujų gamybos įrenginiai kartu su valymo ir biometano gamybos įrenginiais) statyba: </w:t>
            </w:r>
            <w:r>
              <w:t xml:space="preserve">40 proc. visų tinkamų finansuoti projekto išlaidų. </w:t>
            </w:r>
          </w:p>
          <w:p w14:paraId="05B8A625" w14:textId="77777777" w:rsidR="00BB48CE" w:rsidRDefault="00000000">
            <w:pPr>
              <w:jc w:val="both"/>
              <w:rPr>
                <w:szCs w:val="24"/>
              </w:rPr>
            </w:pPr>
            <w:r>
              <w:rPr>
                <w:szCs w:val="24"/>
                <w:lang w:eastAsia="lt-LT"/>
              </w:rPr>
              <w:t xml:space="preserve">13.3.2. </w:t>
            </w:r>
            <w:r>
              <w:rPr>
                <w:color w:val="000000"/>
                <w:szCs w:val="24"/>
                <w:lang w:eastAsia="lt-LT"/>
              </w:rPr>
              <w:t xml:space="preserve">Biometano dujų gamybos įrenginių plėtra, įrengiant biodujų valymo įrenginius prie jau esamų biodujų gamybos įrenginių: </w:t>
            </w:r>
            <w:r>
              <w:rPr>
                <w:szCs w:val="24"/>
              </w:rPr>
              <w:t>25 proc. visų tinkamų finansuoti projekto išlaidų.</w:t>
            </w:r>
          </w:p>
          <w:p w14:paraId="17CA7E75" w14:textId="77777777" w:rsidR="00BB48CE" w:rsidRDefault="00000000">
            <w:pPr>
              <w:jc w:val="both"/>
              <w:rPr>
                <w:szCs w:val="24"/>
              </w:rPr>
            </w:pPr>
            <w:r>
              <w:rPr>
                <w:szCs w:val="24"/>
              </w:rPr>
              <w:t>13.4. Tinkamos finansuoti projekto išlaidos turi būti padarytos po PĮP pateikimo Agentūrai dienos.</w:t>
            </w:r>
          </w:p>
          <w:p w14:paraId="4E621E01" w14:textId="77777777" w:rsidR="00BB48CE" w:rsidRDefault="00000000">
            <w:pPr>
              <w:jc w:val="both"/>
              <w:rPr>
                <w:szCs w:val="24"/>
              </w:rPr>
            </w:pPr>
            <w:r>
              <w:rPr>
                <w:szCs w:val="24"/>
              </w:rPr>
              <w:t>13.5. Tinkamos finansuoti projektų, susijusių su biologiniu biomasės skaidymu, išlaidos:</w:t>
            </w:r>
          </w:p>
          <w:p w14:paraId="2525DB7D" w14:textId="77777777" w:rsidR="00BB48CE" w:rsidRDefault="00000000">
            <w:pPr>
              <w:jc w:val="both"/>
            </w:pPr>
            <w:r>
              <w:t>13.5.1. bioreaktoriams ir su jų veikimu susijusiems būtiniems įrenginiams įsigyti ir įrengti;</w:t>
            </w:r>
          </w:p>
          <w:p w14:paraId="38621D0F" w14:textId="77777777" w:rsidR="00BB48CE" w:rsidRDefault="00000000">
            <w:pPr>
              <w:jc w:val="both"/>
            </w:pPr>
            <w:r>
              <w:t>13.5.2. įrenginiams, skirtiems biomasei transportuoti (išskyrus transporto priemones ir kitas panašias ratines transportavimo priemones bei jų priekabas), apdoroti ir tiekti į bioreaktorių, įsigyti ir įrengti;</w:t>
            </w:r>
          </w:p>
          <w:p w14:paraId="27018957" w14:textId="77777777" w:rsidR="00BB48CE" w:rsidRDefault="00000000">
            <w:pPr>
              <w:jc w:val="both"/>
            </w:pPr>
            <w:r>
              <w:t>13.5.3. substratui apdoroti ir degazuotajam substratui tvarkyti skirtiems įrenginiams įsigyti ir įrengti (degazuotojo substrato perdirbimo įrenginiai, skirti biodujų gamybos procese susidariusiam substratui suskaidyti į atskiras frakcijas; degazuotojo substrato džiovinimo įrenginiai; degazuotojo substrato kompostavimo ir granuliavimo įrenginiai; degazuotojo substrato saugojimo talpyklos);</w:t>
            </w:r>
          </w:p>
          <w:p w14:paraId="00FE8DA0" w14:textId="77777777" w:rsidR="00BB48CE" w:rsidRDefault="00000000">
            <w:pPr>
              <w:jc w:val="both"/>
            </w:pPr>
            <w:r>
              <w:t>13.5.4. biodujų valymo įrenginiams, su jų veikimu susijusiems būtiniems įrenginiams įsigyti ir įrengti;</w:t>
            </w:r>
          </w:p>
          <w:p w14:paraId="408BDD63" w14:textId="77777777" w:rsidR="00BB48CE" w:rsidRDefault="00000000">
            <w:pPr>
              <w:jc w:val="both"/>
            </w:pPr>
            <w:r>
              <w:t>13.5.5. biodujų ir (ar) biometano saugojimo įrenginiams įsigyti ir įrengti;</w:t>
            </w:r>
          </w:p>
          <w:p w14:paraId="50B8E386" w14:textId="77777777" w:rsidR="00BB48CE" w:rsidRDefault="00000000">
            <w:pPr>
              <w:jc w:val="both"/>
            </w:pPr>
            <w:r>
              <w:t>13.5.6. kokybės matavimo ir užtikrinimo, apskaitos ir suslėgimo įrenginiams įsigyti ir įrengti;</w:t>
            </w:r>
          </w:p>
          <w:p w14:paraId="5FFD78B3" w14:textId="77777777" w:rsidR="00BB48CE" w:rsidRDefault="00000000">
            <w:pPr>
              <w:jc w:val="both"/>
            </w:pPr>
            <w:r>
              <w:t>13.5.7. biometano užpildymo įrangai prie biodujų jėgainės įsigyti ir įrengti;</w:t>
            </w:r>
          </w:p>
          <w:p w14:paraId="1A0C4FE2" w14:textId="77777777" w:rsidR="00BB48CE" w:rsidRDefault="00000000">
            <w:pPr>
              <w:jc w:val="both"/>
            </w:pPr>
            <w:r>
              <w:t>13.5.8. elektros ir (ar) šilumos energijos, naudojamos technologiniam procesui užtikrinti, gamybos įrenginiams, naudojantiems pagamintas biodujas, įsigyti ir įrengti;</w:t>
            </w:r>
          </w:p>
          <w:p w14:paraId="6561574F" w14:textId="77777777" w:rsidR="00BB48CE" w:rsidRDefault="00000000">
            <w:pPr>
              <w:jc w:val="both"/>
            </w:pPr>
            <w:r>
              <w:t>13.5.9. PFSA 13.5.1–13.5.8 papunkčiuose numatytų įrenginių montavimo, įrengimo, statybos, paleidimo darbams;</w:t>
            </w:r>
          </w:p>
          <w:p w14:paraId="625F531B" w14:textId="77777777" w:rsidR="00BB48CE" w:rsidRDefault="00000000">
            <w:pPr>
              <w:jc w:val="both"/>
            </w:pPr>
            <w:r>
              <w:t>13.5.10. išlaidos, nurodytos PFSA 13.5.2, 13.5.3, 13.5.5–13.5.8 papunkčiuose, gali būti patirtos tik įgyvendinant PFSA 13.5.1 arba 13.5.2 papunkčiuose nurodytas veiklas.</w:t>
            </w:r>
          </w:p>
          <w:p w14:paraId="7E0411BD" w14:textId="77777777" w:rsidR="00BB48CE" w:rsidRDefault="00000000">
            <w:pPr>
              <w:jc w:val="both"/>
              <w:rPr>
                <w:szCs w:val="24"/>
                <w:lang w:eastAsia="lt-LT"/>
              </w:rPr>
            </w:pPr>
            <w:r>
              <w:rPr>
                <w:szCs w:val="24"/>
                <w:lang w:eastAsia="lt-LT"/>
              </w:rPr>
              <w:t xml:space="preserve">13.6. Jeigu projektas, kuriam prašoma finansavimo, pradedamas įgyvendinti iki PĮP pateikimo Agentūrai dienos, visas projektas tampa netinkamas dotacijai gauti ir jam finansavimas neskiriamas. Projekto įgyvendinimo pradžia laikoma darbų pradžia, kaip ji apibrėžiama Reglamento </w:t>
            </w:r>
            <w:hyperlink r:id="rId26" w:tgtFrame="_blank" w:history="1">
              <w:r>
                <w:rPr>
                  <w:color w:val="0563C1" w:themeColor="hyperlink"/>
                  <w:szCs w:val="24"/>
                  <w:u w:val="single"/>
                  <w:lang w:eastAsia="lt-LT"/>
                </w:rPr>
                <w:t>(ES) Nr. 651/2014</w:t>
              </w:r>
            </w:hyperlink>
            <w:r>
              <w:rPr>
                <w:szCs w:val="24"/>
                <w:lang w:eastAsia="lt-LT"/>
              </w:rPr>
              <w:t xml:space="preserve"> 2 straipsnio 23 papunktyje. </w:t>
            </w:r>
          </w:p>
          <w:p w14:paraId="7D29852E" w14:textId="77777777" w:rsidR="00BB48CE" w:rsidRDefault="00000000">
            <w:pPr>
              <w:jc w:val="both"/>
              <w:rPr>
                <w:szCs w:val="24"/>
              </w:rPr>
            </w:pPr>
            <w:r>
              <w:rPr>
                <w:szCs w:val="24"/>
                <w:lang w:eastAsia="lt-LT"/>
              </w:rPr>
              <w:t>13.7.</w:t>
            </w:r>
            <w:r>
              <w:rPr>
                <w:szCs w:val="24"/>
              </w:rPr>
              <w:t xml:space="preserve"> Pareiškėjo prašymu Agentūra priima sprendimą projektui įgyvendinti skirti iki 30 proc. dydžio avansą, skaičiuojamą nuo Agentūros direktoriaus įsakymu skirtos dotacijos sumos. Avansinis mokėjimas skiriamas pareiškėjui pateikus avansinio mokėjimo prašymą per APVIS ir finansų įstaigos ar draudimo įmonės garantiją, laidavimo raštą ar laidavimo draudimo raštą dėl avanso sumos. Jeigu finansų įstaigos ar draudimo įmonė registruota ne Lietuvoje, privaloma pateikti ir Lietuvos banko patvirtinimą. Sumokėta avanso suma proporcingai atskaitoma iš mokėjimo prašymo (-ų). Agentūra per 15 darbo dienų (skaičiuojant nuo avansinio mokėjimo prašymo pateikimo dienos) patikrina užpildytą avansinio mokėjimo prašymą ir, jei jis užpildytas tinkamai, perduoda nurodymą Nacionaliniam bendrųjų funkcijų centrui prašyme nurodytą avansinio mokėjimo sumą išmokėti pareiškėjui į prašyme nurodytą banko sąskaitą arba nurodo pareiškėjui finansų įstaigos ar draudimo įmonės garantijos, laidavimo rašto ar laidavimo draudimo rašto trūkumus, kuriuos pareiškėjas turi ištaisyti per 5 darbo dienas nuo dienos, kai Agentūra pareiškėjui nurodė trūkumus. </w:t>
            </w:r>
            <w:r>
              <w:rPr>
                <w:szCs w:val="24"/>
                <w:lang w:eastAsia="lt-LT"/>
              </w:rPr>
              <w:t xml:space="preserve">Reglamento </w:t>
            </w:r>
            <w:hyperlink r:id="rId27" w:tgtFrame="_blank" w:history="1">
              <w:r>
                <w:rPr>
                  <w:color w:val="0563C1" w:themeColor="hyperlink"/>
                  <w:szCs w:val="24"/>
                  <w:u w:val="single"/>
                  <w:lang w:eastAsia="lt-LT"/>
                </w:rPr>
                <w:t>(ES) Nr. 651/2014</w:t>
              </w:r>
            </w:hyperlink>
            <w:r>
              <w:rPr>
                <w:szCs w:val="24"/>
                <w:lang w:eastAsia="lt-LT"/>
              </w:rPr>
              <w:t xml:space="preserve"> </w:t>
            </w:r>
            <w:r>
              <w:rPr>
                <w:szCs w:val="24"/>
              </w:rPr>
              <w:t>7 straipsnio 3 dalyje nustatyta, kad ateityje mokėtina pagalba, įskaitant keliomis dalimis mokamą pagalbą, diskontuojama iki suteikimo momentu esamos jos vertės, tinkamos finansuoti išlaidos diskontuojamos iki jų vertės pagalbos suteikimo metu.</w:t>
            </w:r>
          </w:p>
          <w:p w14:paraId="3CE729ED" w14:textId="77777777" w:rsidR="00BB48CE" w:rsidRDefault="00000000">
            <w:pPr>
              <w:jc w:val="both"/>
              <w:rPr>
                <w:szCs w:val="24"/>
              </w:rPr>
            </w:pPr>
            <w:r>
              <w:rPr>
                <w:szCs w:val="24"/>
                <w:lang w:eastAsia="lt-LT"/>
              </w:rPr>
              <w:t>13.8.</w:t>
            </w:r>
            <w:r>
              <w:rPr>
                <w:szCs w:val="24"/>
              </w:rPr>
              <w:t xml:space="preserve"> Įgyvendinęs projektą iki projekto įgyvendinimo termino pabaigos, pareiškėjas per APVIS Agentūrai pateikia galutinį mokėjimo prašymą su privalomais pateikti dokumentais.</w:t>
            </w:r>
          </w:p>
          <w:p w14:paraId="0B403873" w14:textId="77777777" w:rsidR="00BB48CE" w:rsidRDefault="00000000">
            <w:pPr>
              <w:jc w:val="both"/>
              <w:rPr>
                <w:szCs w:val="24"/>
              </w:rPr>
            </w:pPr>
            <w:r>
              <w:rPr>
                <w:szCs w:val="24"/>
                <w:lang w:eastAsia="lt-LT"/>
              </w:rPr>
              <w:t>13.9.</w:t>
            </w:r>
            <w:r>
              <w:rPr>
                <w:szCs w:val="24"/>
              </w:rPr>
              <w:t xml:space="preserve"> Įgyvendinant projektus, finansuojamus pagal PFSA, projekto išlaidos apmokamos ir projekto priežiūra atliekama projekto finansavimo sutartyje nustatyta tvarka. Projekto išlaidos gali būti apmokamos išlaidų kompensavimo ir (ar) sąskaitų apmokėjimo būdu, apmokamos įgyvendinus </w:t>
            </w:r>
            <w:r>
              <w:rPr>
                <w:szCs w:val="24"/>
              </w:rPr>
              <w:lastRenderedPageBreak/>
              <w:t>projektą arba teikiant tarpinius mokėjimo (neskaitant avansinio) prašymus projekto finansavimo sutartyje nustatyta tvarka.</w:t>
            </w:r>
          </w:p>
          <w:p w14:paraId="39C254F7" w14:textId="77777777" w:rsidR="00BB48CE" w:rsidRDefault="00000000">
            <w:pPr>
              <w:jc w:val="both"/>
              <w:rPr>
                <w:szCs w:val="24"/>
              </w:rPr>
            </w:pPr>
            <w:r>
              <w:rPr>
                <w:szCs w:val="24"/>
                <w:lang w:eastAsia="lt-LT"/>
              </w:rPr>
              <w:t>13.10.</w:t>
            </w:r>
            <w:r>
              <w:rPr>
                <w:szCs w:val="24"/>
              </w:rPr>
              <w:t xml:space="preserve"> Agentūra, gavusi mokėjimo prašymą, vadovaudamasi pareiškėjo pateiktais projekto įgyvendinimą įrodančiais dokumentais, nustato, ar išlaidos atitinka PFSA 13 punkte nustatytus reikalavimus, neviršija Agentūros direktoriaus įsakyme nurodytos dotacijos sumos.</w:t>
            </w:r>
          </w:p>
          <w:p w14:paraId="6F42629E" w14:textId="77777777" w:rsidR="00BB48CE" w:rsidRDefault="00000000">
            <w:pPr>
              <w:jc w:val="both"/>
              <w:rPr>
                <w:szCs w:val="24"/>
              </w:rPr>
            </w:pPr>
            <w:r>
              <w:rPr>
                <w:szCs w:val="24"/>
                <w:lang w:eastAsia="lt-LT"/>
              </w:rPr>
              <w:t>13.11.</w:t>
            </w:r>
            <w:r>
              <w:rPr>
                <w:szCs w:val="24"/>
              </w:rPr>
              <w:t xml:space="preserve"> Jeigu su mokėjimo prašymu pateikti ne visi reikalaujami dokumentai ir (arba) mokėjimo prašymas užpildytas netinkamai – nenurodyti duomenys, be kurių Agentūra negali išmokėti pareiškėjui dotacijos, pareiškėjas per 10 darbo dienų nuo Agentūros kreipimosi turi pateikti trūkstamus dokumentus ir (ar) patikslinti mokėjimo prašymą. Jei per nurodytą terminą mokėjimo prašymas nepatikslinamas ar nepateikiami trūkstami dokumentai ir nurodytos priežastys, dėl kurių nebuvo galima per nurodytą terminą patikslinti mokėjimo prašymo, nepripažįstamos svarbiomis, mokėjimo prašymas atmetamas.</w:t>
            </w:r>
          </w:p>
          <w:p w14:paraId="60CE2DE6" w14:textId="77777777" w:rsidR="00BB48CE" w:rsidRDefault="00000000">
            <w:pPr>
              <w:jc w:val="both"/>
              <w:rPr>
                <w:szCs w:val="24"/>
              </w:rPr>
            </w:pPr>
            <w:r>
              <w:rPr>
                <w:szCs w:val="24"/>
                <w:lang w:eastAsia="lt-LT"/>
              </w:rPr>
              <w:t>13.12.</w:t>
            </w:r>
            <w:r>
              <w:rPr>
                <w:szCs w:val="24"/>
              </w:rPr>
              <w:t xml:space="preserve"> Agentūra įvertina pateiktą tinkamai įformintą galutinį mokėjimo prašymą su visais privalomais pateikti dokumentais, atlieka projekto įgyvendinimo patikrą Agentūros direktoriaus nustatyta tvarka ir</w:t>
            </w:r>
            <w:r>
              <w:rPr>
                <w:i/>
                <w:iCs/>
                <w:szCs w:val="24"/>
              </w:rPr>
              <w:t> </w:t>
            </w:r>
            <w:r>
              <w:rPr>
                <w:szCs w:val="24"/>
              </w:rPr>
              <w:t>išmoka lėšas.</w:t>
            </w:r>
          </w:p>
          <w:p w14:paraId="60C3BCF9" w14:textId="77777777" w:rsidR="00BB48CE" w:rsidRDefault="00000000">
            <w:pPr>
              <w:jc w:val="both"/>
              <w:rPr>
                <w:szCs w:val="24"/>
              </w:rPr>
            </w:pPr>
            <w:r>
              <w:rPr>
                <w:szCs w:val="24"/>
                <w:lang w:eastAsia="lt-LT"/>
              </w:rPr>
              <w:t>13.13.</w:t>
            </w:r>
            <w:r>
              <w:rPr>
                <w:szCs w:val="24"/>
              </w:rPr>
              <w:t xml:space="preserve"> Galutiniame mokėjimo prašyme nurodyta suma išmokama tik po Agentūros patikros projekto įgyvendinimo vietoje. Su galutiniu mokėjimo prašymu privaloma pateikti:</w:t>
            </w:r>
          </w:p>
          <w:p w14:paraId="5035964A" w14:textId="77777777" w:rsidR="00BB48CE" w:rsidRDefault="00000000">
            <w:pPr>
              <w:jc w:val="both"/>
              <w:rPr>
                <w:szCs w:val="24"/>
              </w:rPr>
            </w:pPr>
            <w:r>
              <w:rPr>
                <w:szCs w:val="24"/>
                <w:lang w:eastAsia="lt-LT"/>
              </w:rPr>
              <w:t>13.13.1.</w:t>
            </w:r>
            <w:r>
              <w:rPr>
                <w:szCs w:val="24"/>
              </w:rPr>
              <w:t xml:space="preserve"> informaciją apie projekto sąskaitoje sukauptas palūkanas (avansinio mokėjimo atveju). Projekto sąskaitoje sukauptų palūkanų dydžiu mažinama pagal galutinį mokėjimo prašymą mokėtina suma, jei sukauptų palūkanų dalis yra didesnė už pagal galutinį mokėjimo prašymą mokėtiną projekto sumą, tokiu atveju pareiškėjas privalo grąžinti perviršį į atsakingosios institucijos nurodytą sąskaitą;</w:t>
            </w:r>
          </w:p>
          <w:p w14:paraId="32D37C0F" w14:textId="77777777" w:rsidR="00BB48CE" w:rsidRDefault="00000000">
            <w:pPr>
              <w:jc w:val="both"/>
              <w:rPr>
                <w:szCs w:val="24"/>
              </w:rPr>
            </w:pPr>
            <w:r>
              <w:rPr>
                <w:szCs w:val="24"/>
                <w:lang w:eastAsia="lt-LT"/>
              </w:rPr>
              <w:t>13.13.2.</w:t>
            </w:r>
            <w:r>
              <w:rPr>
                <w:szCs w:val="24"/>
              </w:rPr>
              <w:t xml:space="preserve"> ilgalaikio turto eksploatacijos pradžios aktus;</w:t>
            </w:r>
          </w:p>
          <w:p w14:paraId="764B29DB" w14:textId="77777777" w:rsidR="00BB48CE" w:rsidRDefault="00000000">
            <w:pPr>
              <w:jc w:val="both"/>
              <w:rPr>
                <w:szCs w:val="24"/>
              </w:rPr>
            </w:pPr>
            <w:r>
              <w:rPr>
                <w:szCs w:val="24"/>
                <w:lang w:eastAsia="lt-LT"/>
              </w:rPr>
              <w:t>13.13.3</w:t>
            </w:r>
            <w:r>
              <w:rPr>
                <w:szCs w:val="24"/>
              </w:rPr>
              <w:t>. statybos, kuri yra finansuojamo projekto dalis, užbaigimą patvirtinančius dokumentus, išduotus teisės aktų, reguliuojančių statybas, nustatyta tvarka;</w:t>
            </w:r>
          </w:p>
          <w:p w14:paraId="3C91B1AB" w14:textId="77777777" w:rsidR="00BB48CE" w:rsidRDefault="00000000">
            <w:pPr>
              <w:jc w:val="both"/>
              <w:rPr>
                <w:szCs w:val="24"/>
              </w:rPr>
            </w:pPr>
            <w:r>
              <w:rPr>
                <w:szCs w:val="24"/>
                <w:lang w:eastAsia="lt-LT"/>
              </w:rPr>
              <w:t>13.13.4</w:t>
            </w:r>
            <w:r>
              <w:rPr>
                <w:szCs w:val="24"/>
              </w:rPr>
              <w:t>. faktinį atliktų darbų, įsigytų prekių ir paslaugų kiekį pagrindžiančius dokumentus;</w:t>
            </w:r>
          </w:p>
          <w:p w14:paraId="3C59B162" w14:textId="77777777" w:rsidR="00BB48CE" w:rsidRDefault="00000000">
            <w:pPr>
              <w:jc w:val="both"/>
              <w:rPr>
                <w:szCs w:val="24"/>
              </w:rPr>
            </w:pPr>
            <w:r>
              <w:rPr>
                <w:szCs w:val="24"/>
                <w:lang w:eastAsia="lt-LT"/>
              </w:rPr>
              <w:t>13.13.5</w:t>
            </w:r>
            <w:r>
              <w:rPr>
                <w:szCs w:val="24"/>
              </w:rPr>
              <w:t>. kitus Agentūros nurodytus dokumentus, kad būtų galima įvertinti projekto rezultatus.</w:t>
            </w:r>
          </w:p>
          <w:p w14:paraId="57F6C249" w14:textId="77777777" w:rsidR="00BB48CE" w:rsidRDefault="00000000">
            <w:pPr>
              <w:jc w:val="both"/>
              <w:rPr>
                <w:szCs w:val="24"/>
              </w:rPr>
            </w:pPr>
            <w:r>
              <w:rPr>
                <w:szCs w:val="24"/>
                <w:lang w:eastAsia="lt-LT"/>
              </w:rPr>
              <w:t>13.14</w:t>
            </w:r>
            <w:r>
              <w:rPr>
                <w:szCs w:val="24"/>
              </w:rPr>
              <w:t>. Jei trūkumų nenustatoma, mokėjimo prašymuose nurodyta suma išmokama per 60 kalendorinių dienų nuo tinkamai pateikto mokėjimo prašymo registravimo APVIS dienos.</w:t>
            </w:r>
          </w:p>
          <w:p w14:paraId="30884183" w14:textId="77777777" w:rsidR="00BB48CE" w:rsidRDefault="00000000">
            <w:pPr>
              <w:jc w:val="both"/>
              <w:rPr>
                <w:szCs w:val="24"/>
              </w:rPr>
            </w:pPr>
            <w:r>
              <w:rPr>
                <w:szCs w:val="24"/>
                <w:lang w:eastAsia="lt-LT"/>
              </w:rPr>
              <w:t>13.15</w:t>
            </w:r>
            <w:r>
              <w:rPr>
                <w:szCs w:val="24"/>
              </w:rPr>
              <w:t xml:space="preserve">. Neteisingai apskaičiuotą ir pareiškėjui pervestą dotaciją pareiškėjas privalo grąžinti Agentūrai per 10 darbo dienų nuo pareikalavimo dienos. </w:t>
            </w:r>
          </w:p>
        </w:tc>
      </w:tr>
      <w:tr w:rsidR="00BB48CE" w14:paraId="68BE89C4" w14:textId="77777777">
        <w:tc>
          <w:tcPr>
            <w:tcW w:w="5000" w:type="pct"/>
          </w:tcPr>
          <w:p w14:paraId="797A6D43" w14:textId="77777777" w:rsidR="00BB48CE" w:rsidRDefault="00000000">
            <w:pPr>
              <w:rPr>
                <w:b/>
                <w:color w:val="000000"/>
                <w:szCs w:val="24"/>
              </w:rPr>
            </w:pPr>
            <w:r>
              <w:rPr>
                <w:b/>
                <w:color w:val="000000"/>
                <w:szCs w:val="24"/>
              </w:rPr>
              <w:lastRenderedPageBreak/>
              <w:t>14. Projektų veiklų ir jungtinio projekto projektų įgyvendinimui taikomi supaprastintai apmokamų išlaidų dydžiai</w:t>
            </w:r>
          </w:p>
        </w:tc>
      </w:tr>
      <w:tr w:rsidR="00BB48CE" w14:paraId="5F5A297E" w14:textId="77777777">
        <w:tc>
          <w:tcPr>
            <w:tcW w:w="5000" w:type="pct"/>
          </w:tcPr>
          <w:p w14:paraId="70B809BA" w14:textId="77777777" w:rsidR="00BB48CE" w:rsidRDefault="00000000">
            <w:pPr>
              <w:jc w:val="both"/>
              <w:rPr>
                <w:bCs/>
                <w:color w:val="000000"/>
                <w:szCs w:val="24"/>
              </w:rPr>
            </w:pPr>
            <w:r>
              <w:rPr>
                <w:bCs/>
                <w:color w:val="000000"/>
                <w:szCs w:val="24"/>
              </w:rPr>
              <w:t>Netaikoma.</w:t>
            </w:r>
          </w:p>
        </w:tc>
      </w:tr>
    </w:tbl>
    <w:p w14:paraId="20F6A99B" w14:textId="77777777" w:rsidR="00BB48CE" w:rsidRDefault="00BB48CE">
      <w:pPr>
        <w:rPr>
          <w:sz w:val="14"/>
          <w:szCs w:val="14"/>
        </w:rPr>
      </w:pPr>
    </w:p>
    <w:p w14:paraId="31D56930" w14:textId="77777777" w:rsidR="00BB48CE" w:rsidRDefault="00000000">
      <w:pPr>
        <w:spacing w:line="259" w:lineRule="auto"/>
        <w:jc w:val="center"/>
      </w:pPr>
      <w:r>
        <w:rPr>
          <w:szCs w:val="24"/>
        </w:rPr>
        <w:t>________________________________</w:t>
      </w:r>
    </w:p>
    <w:p w14:paraId="63313405" w14:textId="77777777" w:rsidR="00BB48CE" w:rsidRDefault="00BB48CE">
      <w:pPr>
        <w:tabs>
          <w:tab w:val="center" w:pos="4513"/>
          <w:tab w:val="right" w:pos="9026"/>
        </w:tabs>
        <w:ind w:left="4513"/>
        <w:jc w:val="both"/>
        <w:sectPr w:rsidR="00BB48CE">
          <w:headerReference w:type="even" r:id="rId28"/>
          <w:headerReference w:type="default" r:id="rId29"/>
          <w:footerReference w:type="even" r:id="rId30"/>
          <w:footerReference w:type="default" r:id="rId31"/>
          <w:headerReference w:type="first" r:id="rId32"/>
          <w:footerReference w:type="first" r:id="rId33"/>
          <w:pgSz w:w="11906" w:h="16838"/>
          <w:pgMar w:top="1134" w:right="567" w:bottom="1134" w:left="1701" w:header="567" w:footer="567" w:gutter="0"/>
          <w:pgNumType w:start="1"/>
          <w:cols w:space="1296"/>
          <w:titlePg/>
          <w:docGrid w:linePitch="360"/>
        </w:sectPr>
      </w:pPr>
    </w:p>
    <w:p w14:paraId="71A59EFF"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lastRenderedPageBreak/>
        <w:t xml:space="preserve">2022–2030 metų plėtros programos valdytojos </w:t>
      </w:r>
    </w:p>
    <w:p w14:paraId="79D18E26"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Lietuvos Respublikos aplinkos ministerijos aplinkos </w:t>
      </w:r>
    </w:p>
    <w:p w14:paraId="77474F32"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apsaugos ir klimato kaitos valdymo plėtros programos </w:t>
      </w:r>
    </w:p>
    <w:p w14:paraId="05B63A10"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pažangos priemonės Nr. 02-001-06-04-02 „Didinti </w:t>
      </w:r>
    </w:p>
    <w:p w14:paraId="3ADE25E5"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klimato kaitos politikos veiksmingumą“ veiklos </w:t>
      </w:r>
    </w:p>
    <w:p w14:paraId="776090DD"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„Investicinė parama biometano gamybai ir (ar) </w:t>
      </w:r>
    </w:p>
    <w:p w14:paraId="4EA263D9"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biodujų išvalymui“ projektų finansavimo sąlygų </w:t>
      </w:r>
    </w:p>
    <w:p w14:paraId="46DD5585"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aprašo</w:t>
      </w:r>
    </w:p>
    <w:p w14:paraId="3426B96A" w14:textId="77777777" w:rsidR="00BB48CE" w:rsidRDefault="00000000">
      <w:pPr>
        <w:tabs>
          <w:tab w:val="center" w:pos="4513"/>
          <w:tab w:val="right" w:pos="9026"/>
        </w:tabs>
        <w:ind w:left="4513"/>
      </w:pPr>
      <w:r>
        <w:rPr>
          <w:color w:val="000000"/>
          <w:shd w:val="clear" w:color="auto" w:fill="FFFFFF"/>
        </w:rPr>
        <w:t xml:space="preserve">1 priedas </w:t>
      </w:r>
    </w:p>
    <w:p w14:paraId="4CA3F924" w14:textId="77777777" w:rsidR="00BB48CE" w:rsidRDefault="00BB48CE">
      <w:pPr>
        <w:rPr>
          <w:b/>
          <w:bCs/>
          <w:iCs/>
          <w:szCs w:val="24"/>
        </w:rPr>
      </w:pPr>
    </w:p>
    <w:p w14:paraId="4999A78E" w14:textId="77777777" w:rsidR="00BB48CE" w:rsidRDefault="00000000">
      <w:pPr>
        <w:jc w:val="center"/>
        <w:rPr>
          <w:b/>
          <w:bCs/>
          <w:iCs/>
          <w:szCs w:val="24"/>
        </w:rPr>
      </w:pPr>
      <w:r>
        <w:rPr>
          <w:b/>
          <w:bCs/>
          <w:iCs/>
          <w:szCs w:val="24"/>
        </w:rPr>
        <w:t>PROJEKTO (ĮSKAITANT JUNGTINĮ PROJEKTĄ) ATITIKTIES REIKŠMINGOS ŽALOS NEDARYMO HORIZONTALIAJAM PRINCIPUI VERTINIMO REIKALAVIMŲ APRAŠAS</w:t>
      </w:r>
    </w:p>
    <w:p w14:paraId="26BDC562" w14:textId="77777777" w:rsidR="00BB48CE" w:rsidRDefault="00BB48CE">
      <w:pPr>
        <w:spacing w:line="276" w:lineRule="auto"/>
        <w:jc w:val="both"/>
        <w:rPr>
          <w:rFonts w:eastAsia="Calibri"/>
          <w:bCs/>
          <w:szCs w:val="24"/>
        </w:rPr>
      </w:pPr>
    </w:p>
    <w:p w14:paraId="594A0F6D" w14:textId="77777777" w:rsidR="00BB48CE" w:rsidRDefault="00000000">
      <w:pPr>
        <w:jc w:val="both"/>
        <w:rPr>
          <w:rFonts w:eastAsia="Calibri"/>
          <w:bCs/>
          <w:szCs w:val="24"/>
        </w:rPr>
      </w:pPr>
      <w:r>
        <w:rPr>
          <w:rFonts w:eastAsia="Calibri"/>
          <w:bCs/>
          <w:szCs w:val="24"/>
        </w:rPr>
        <w:t>Finansavimo šaltinis, pagal kurį finansuojamas projektas, – Klimato kaitos programa</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3119"/>
        <w:gridCol w:w="3659"/>
      </w:tblGrid>
      <w:tr w:rsidR="00BB48CE" w14:paraId="42ACEBFB" w14:textId="77777777">
        <w:tc>
          <w:tcPr>
            <w:tcW w:w="3139" w:type="dxa"/>
          </w:tcPr>
          <w:p w14:paraId="093EA5BD" w14:textId="77777777" w:rsidR="00BB48CE" w:rsidRDefault="00000000">
            <w:pPr>
              <w:jc w:val="center"/>
              <w:rPr>
                <w:rFonts w:eastAsia="Calibri"/>
                <w:b/>
                <w:szCs w:val="24"/>
              </w:rPr>
            </w:pPr>
            <w:r>
              <w:rPr>
                <w:rFonts w:eastAsia="Calibri"/>
                <w:b/>
                <w:szCs w:val="24"/>
              </w:rPr>
              <w:t>Aplinkos tikslai</w:t>
            </w:r>
          </w:p>
          <w:p w14:paraId="4368EEAB" w14:textId="77777777" w:rsidR="00BB48CE" w:rsidRDefault="00000000">
            <w:pPr>
              <w:jc w:val="both"/>
              <w:rPr>
                <w:rFonts w:eastAsia="Calibri"/>
                <w:b/>
                <w:szCs w:val="24"/>
              </w:rPr>
            </w:pPr>
            <w:r>
              <w:rPr>
                <w:rFonts w:eastAsia="Calibri"/>
                <w:szCs w:val="24"/>
              </w:rPr>
              <w:t>(</w:t>
            </w:r>
            <w:r>
              <w:rPr>
                <w:rFonts w:eastAsia="Calibri"/>
                <w:i/>
                <w:szCs w:val="24"/>
              </w:rPr>
              <w:t xml:space="preserve">pagal 2020 m. birželio 18 d. Europos Parlamento ir Tarybos reglamentą </w:t>
            </w:r>
            <w:hyperlink r:id="rId34" w:tgtFrame="_blank" w:history="1">
              <w:r>
                <w:rPr>
                  <w:rFonts w:eastAsia="Calibri"/>
                  <w:i/>
                  <w:color w:val="0563C1" w:themeColor="hyperlink"/>
                  <w:szCs w:val="24"/>
                  <w:u w:val="single"/>
                </w:rPr>
                <w:t>(ES) Nr. 2020/852</w:t>
              </w:r>
            </w:hyperlink>
            <w:r>
              <w:rPr>
                <w:rFonts w:eastAsia="Calibri"/>
                <w:i/>
                <w:szCs w:val="24"/>
              </w:rPr>
              <w:t xml:space="preserve"> dėl sistemos tvariam investavimui palengvinti sukūrimo, kuriuo iš dalies keičiamas Reglamentas </w:t>
            </w:r>
            <w:hyperlink r:id="rId35" w:tgtFrame="_blank" w:history="1">
              <w:r>
                <w:rPr>
                  <w:rFonts w:eastAsia="Calibri"/>
                  <w:i/>
                  <w:color w:val="0563C1" w:themeColor="hyperlink"/>
                  <w:szCs w:val="24"/>
                  <w:u w:val="single"/>
                </w:rPr>
                <w:t>(ES) Nr. 2019/2088</w:t>
              </w:r>
            </w:hyperlink>
            <w:r>
              <w:rPr>
                <w:rFonts w:eastAsia="Calibri"/>
                <w:i/>
                <w:szCs w:val="24"/>
              </w:rPr>
              <w:t>)</w:t>
            </w:r>
          </w:p>
        </w:tc>
        <w:tc>
          <w:tcPr>
            <w:tcW w:w="3119" w:type="dxa"/>
          </w:tcPr>
          <w:p w14:paraId="2B98FA01" w14:textId="77777777" w:rsidR="00BB48CE" w:rsidRDefault="00000000">
            <w:pPr>
              <w:jc w:val="center"/>
              <w:rPr>
                <w:rFonts w:eastAsia="Calibri"/>
                <w:b/>
                <w:szCs w:val="24"/>
              </w:rPr>
            </w:pPr>
            <w:r>
              <w:rPr>
                <w:rFonts w:eastAsia="Calibri"/>
                <w:b/>
                <w:szCs w:val="24"/>
              </w:rPr>
              <w:t>Pagrindimas</w:t>
            </w:r>
          </w:p>
          <w:p w14:paraId="26BBB0B6" w14:textId="77777777" w:rsidR="00BB48CE" w:rsidRDefault="00000000">
            <w:pPr>
              <w:jc w:val="both"/>
              <w:rPr>
                <w:rFonts w:eastAsia="Calibri"/>
                <w:b/>
                <w:szCs w:val="24"/>
              </w:rPr>
            </w:pPr>
            <w:r>
              <w:rPr>
                <w:rFonts w:eastAsia="Calibri"/>
                <w:bCs/>
                <w:i/>
                <w:szCs w:val="24"/>
              </w:rPr>
              <w:t>(remiantis priemonių, kai finansavimo šaltinis KKP, arba veiksmų (veiklų) vertinimo klausimynais)</w:t>
            </w:r>
          </w:p>
        </w:tc>
        <w:tc>
          <w:tcPr>
            <w:tcW w:w="3659" w:type="dxa"/>
          </w:tcPr>
          <w:p w14:paraId="09770060" w14:textId="77777777" w:rsidR="00BB48CE" w:rsidRDefault="00000000">
            <w:pPr>
              <w:jc w:val="center"/>
              <w:rPr>
                <w:rFonts w:eastAsia="Calibri"/>
                <w:i/>
                <w:sz w:val="20"/>
              </w:rPr>
            </w:pPr>
            <w:r>
              <w:rPr>
                <w:rFonts w:eastAsia="Calibri"/>
                <w:b/>
                <w:szCs w:val="24"/>
              </w:rPr>
              <w:t>Pagrindimo dokumentai</w:t>
            </w:r>
          </w:p>
          <w:p w14:paraId="35561694" w14:textId="77777777" w:rsidR="00BB48CE" w:rsidRDefault="00000000">
            <w:pPr>
              <w:jc w:val="both"/>
              <w:rPr>
                <w:rFonts w:eastAsia="Calibri"/>
                <w:i/>
                <w:szCs w:val="24"/>
              </w:rPr>
            </w:pPr>
            <w:r>
              <w:rPr>
                <w:rFonts w:eastAsia="Calibri"/>
                <w:i/>
                <w:szCs w:val="24"/>
              </w:rPr>
              <w:t>(nurodomas dokumentas, kuris bus vertinamas siekiant įvertinti projekto atitiktį aplinkos tikslams, arba pateikiama šią atitiktį pagrindžianti informacija)</w:t>
            </w:r>
          </w:p>
        </w:tc>
      </w:tr>
      <w:tr w:rsidR="00BB48CE" w14:paraId="7F6B7D3B" w14:textId="77777777">
        <w:tc>
          <w:tcPr>
            <w:tcW w:w="3139" w:type="dxa"/>
          </w:tcPr>
          <w:p w14:paraId="7EE5C935" w14:textId="77777777" w:rsidR="00BB48CE" w:rsidRDefault="00000000">
            <w:pPr>
              <w:tabs>
                <w:tab w:val="left" w:pos="289"/>
              </w:tabs>
              <w:ind w:firstLine="5"/>
              <w:jc w:val="both"/>
              <w:rPr>
                <w:rFonts w:eastAsia="Calibri"/>
                <w:szCs w:val="24"/>
              </w:rPr>
            </w:pPr>
            <w:r>
              <w:rPr>
                <w:rFonts w:eastAsia="Calibri"/>
                <w:szCs w:val="24"/>
              </w:rPr>
              <w:t>1.</w:t>
            </w:r>
            <w:r>
              <w:rPr>
                <w:rFonts w:eastAsia="Calibri"/>
                <w:szCs w:val="24"/>
              </w:rPr>
              <w:tab/>
              <w:t>Klimato kaitos švelninimas</w:t>
            </w:r>
          </w:p>
        </w:tc>
        <w:tc>
          <w:tcPr>
            <w:tcW w:w="3119" w:type="dxa"/>
          </w:tcPr>
          <w:p w14:paraId="5064EBF7" w14:textId="77777777" w:rsidR="00BB48CE" w:rsidRDefault="00000000">
            <w:pPr>
              <w:jc w:val="both"/>
              <w:rPr>
                <w:szCs w:val="24"/>
              </w:rPr>
            </w:pPr>
            <w:r>
              <w:rPr>
                <w:b/>
                <w:bCs/>
                <w:szCs w:val="24"/>
              </w:rPr>
              <w:t>Vertinama, kad reforma 100 procentų prisidedama prie klimato kaitos švelninimo:</w:t>
            </w:r>
          </w:p>
          <w:p w14:paraId="4ABD4A5B" w14:textId="77777777" w:rsidR="00BB48CE" w:rsidRDefault="00000000">
            <w:pPr>
              <w:jc w:val="both"/>
              <w:rPr>
                <w:bCs/>
                <w:szCs w:val="24"/>
              </w:rPr>
            </w:pPr>
            <w:r>
              <w:rPr>
                <w:bCs/>
                <w:szCs w:val="24"/>
              </w:rPr>
              <w:t>Planuojamos investicijos į biometano dujų gamybą yra laikomos būtinomis investicijomis, kurios leistų pereiti prie efektyvios klimatui neutralios ekonomikos, mažinant šiltnamio efektą sukeliančių dujų (toliau – ŠESD) kiekio emisijas, didinant neutralaus poveikio klimatui judumo priemones.</w:t>
            </w:r>
          </w:p>
          <w:p w14:paraId="5ADA66EA" w14:textId="77777777" w:rsidR="00BB48CE" w:rsidRDefault="00BB48CE">
            <w:pPr>
              <w:ind w:left="7"/>
              <w:jc w:val="both"/>
              <w:rPr>
                <w:bCs/>
                <w:szCs w:val="24"/>
              </w:rPr>
            </w:pPr>
          </w:p>
        </w:tc>
        <w:tc>
          <w:tcPr>
            <w:tcW w:w="3659" w:type="dxa"/>
          </w:tcPr>
          <w:p w14:paraId="07AB0164" w14:textId="77777777" w:rsidR="00BB48CE" w:rsidRDefault="00000000">
            <w:pPr>
              <w:tabs>
                <w:tab w:val="left" w:pos="589"/>
              </w:tabs>
              <w:jc w:val="both"/>
              <w:rPr>
                <w:rFonts w:eastAsia="Calibri"/>
                <w:shd w:val="clear" w:color="auto" w:fill="FFFFFF"/>
              </w:rPr>
            </w:pPr>
            <w:r>
              <w:rPr>
                <w:rFonts w:eastAsia="Calibri"/>
              </w:rPr>
              <w:t xml:space="preserve">Veikla 100 proc. prisideda prie klimato kaitos švelninimo. </w:t>
            </w:r>
            <w:r>
              <w:rPr>
                <w:shd w:val="clear" w:color="auto" w:fill="FFFFFF"/>
              </w:rPr>
              <w:t>Projekto remiamos veiklos ir rezultatas – biometano dujų gamybos įrenginiai tiesiogiai prisideda prie klimato kaitos švelninimo</w:t>
            </w:r>
            <w:r>
              <w:rPr>
                <w:rFonts w:eastAsia="Calibri"/>
                <w:shd w:val="clear" w:color="auto" w:fill="FFFFFF"/>
              </w:rPr>
              <w:t xml:space="preserve"> tikslų. </w:t>
            </w:r>
          </w:p>
          <w:p w14:paraId="46611FC3" w14:textId="77777777" w:rsidR="00BB48CE" w:rsidRDefault="00BB48CE">
            <w:pPr>
              <w:tabs>
                <w:tab w:val="left" w:pos="589"/>
              </w:tabs>
              <w:jc w:val="both"/>
              <w:rPr>
                <w:rFonts w:eastAsia="Calibri"/>
                <w:highlight w:val="yellow"/>
              </w:rPr>
            </w:pPr>
          </w:p>
          <w:p w14:paraId="170C4BCB" w14:textId="77777777" w:rsidR="00BB48CE" w:rsidRDefault="00000000">
            <w:pPr>
              <w:jc w:val="both"/>
              <w:rPr>
                <w:bCs/>
                <w:szCs w:val="24"/>
              </w:rPr>
            </w:pPr>
            <w:r>
              <w:rPr>
                <w:szCs w:val="24"/>
              </w:rPr>
              <w:t xml:space="preserve">Su projekto įgyvendinimo planu (toliau – PĮP) pateikiama laisvos formos deklaracija, kad įgyvendinant projektą </w:t>
            </w:r>
            <w:r>
              <w:rPr>
                <w:bCs/>
                <w:szCs w:val="24"/>
              </w:rPr>
              <w:t>bus laikomasi reikalavimų dėl biometano dujų gamybos iš specifinių žaliavų (</w:t>
            </w:r>
            <w:r>
              <w:rPr>
                <w:szCs w:val="24"/>
              </w:rPr>
              <w:t xml:space="preserve">nurodytų 2018 m. gruodžio 11 d. Europos Parlamento ir Tarybos direktyva </w:t>
            </w:r>
            <w:hyperlink r:id="rId36" w:tgtFrame="_blank" w:history="1">
              <w:r>
                <w:rPr>
                  <w:color w:val="0563C1" w:themeColor="hyperlink"/>
                  <w:szCs w:val="24"/>
                  <w:u w:val="single"/>
                </w:rPr>
                <w:t>(ES) 2018/2001</w:t>
              </w:r>
            </w:hyperlink>
            <w:r>
              <w:rPr>
                <w:szCs w:val="24"/>
              </w:rPr>
              <w:t xml:space="preserve"> dėl skatinimo naudoti atsinaujinančiųjų išteklių energiją </w:t>
            </w:r>
            <w:r>
              <w:rPr>
                <w:bCs/>
                <w:szCs w:val="24"/>
              </w:rPr>
              <w:t xml:space="preserve">IX priede), kaip nurodyta </w:t>
            </w:r>
            <w:r>
              <w:t>2022–2030 metų plėtros programos valdytojos Lietuvos Respublikos aplinkos ministerijos aplinkos apsaugos ir klimato kaitos valdymo plėtros programos pažangos priemonės Nr. 02-001-06-04-02 „Didinti klimato kaitos politikos veiksmingumą“ veiklos „</w:t>
            </w:r>
            <w:r>
              <w:rPr>
                <w:szCs w:val="24"/>
              </w:rPr>
              <w:t xml:space="preserve">Investicinė parama biometano gamybai ir (ar) biodujų </w:t>
            </w:r>
            <w:r>
              <w:rPr>
                <w:szCs w:val="24"/>
              </w:rPr>
              <w:lastRenderedPageBreak/>
              <w:t>išvalymui</w:t>
            </w:r>
            <w:r>
              <w:t>“ </w:t>
            </w:r>
            <w:r>
              <w:rPr>
                <w:bCs/>
                <w:szCs w:val="24"/>
              </w:rPr>
              <w:t>projektų finansavimo sąlygų apraše (toliau – PFSA).</w:t>
            </w:r>
          </w:p>
          <w:p w14:paraId="4DC456F4" w14:textId="77777777" w:rsidR="00BB48CE" w:rsidRDefault="00000000">
            <w:pPr>
              <w:jc w:val="both"/>
            </w:pPr>
            <w:r>
              <w:t>Biometano dujų gamintojo taip pat bus reikalaujama, kad jis turėtų sertifikatą pagal vieną iš Europos Komisijos patvirtintų nepriklausomų sertifikavimo schemų ir esant poreikiui įrodytų gaminamų biometano dujų atitiktį tvarumo ir išmetamųjų šiltnami efektą sukeliančių dujų sumažėjimo kriterijams, įtvirtintiems Atsinaujinančių išteklių energetikos įstatyme. Su PĮP pateikiama informacija, kada administruojančiai institucijai bus pateikiamas sertifikatas.</w:t>
            </w:r>
          </w:p>
          <w:p w14:paraId="0048AEED" w14:textId="77777777" w:rsidR="00BB48CE" w:rsidRDefault="00000000">
            <w:pPr>
              <w:tabs>
                <w:tab w:val="left" w:pos="589"/>
              </w:tabs>
              <w:jc w:val="both"/>
              <w:rPr>
                <w:rFonts w:eastAsia="Calibri"/>
              </w:rPr>
            </w:pPr>
            <w:r>
              <w:rPr>
                <w:rFonts w:eastAsia="Calibri"/>
              </w:rPr>
              <w:t>PĮP nurodyti dokumentus, kuriuose bus nustatyti papildomi atitikties reikalavimai: pirkimo dokumentai, sutartys su tiekėjais ar paslaugų teikėjais, komerciniai pasiūlymai ir kt.</w:t>
            </w:r>
          </w:p>
        </w:tc>
      </w:tr>
      <w:tr w:rsidR="00BB48CE" w14:paraId="14069B63" w14:textId="77777777">
        <w:tc>
          <w:tcPr>
            <w:tcW w:w="3139" w:type="dxa"/>
          </w:tcPr>
          <w:p w14:paraId="59B0370C" w14:textId="77777777" w:rsidR="00BB48CE" w:rsidRDefault="00000000">
            <w:pPr>
              <w:tabs>
                <w:tab w:val="left" w:pos="289"/>
              </w:tabs>
              <w:ind w:firstLine="5"/>
              <w:jc w:val="both"/>
              <w:rPr>
                <w:rFonts w:eastAsia="Calibri"/>
                <w:szCs w:val="24"/>
              </w:rPr>
            </w:pPr>
            <w:r>
              <w:rPr>
                <w:rFonts w:eastAsia="Calibri"/>
                <w:szCs w:val="24"/>
              </w:rPr>
              <w:t>2.</w:t>
            </w:r>
            <w:r>
              <w:rPr>
                <w:rFonts w:eastAsia="Calibri"/>
                <w:szCs w:val="24"/>
              </w:rPr>
              <w:tab/>
              <w:t>Prisitaikymas prie klimato kaitos</w:t>
            </w:r>
          </w:p>
        </w:tc>
        <w:tc>
          <w:tcPr>
            <w:tcW w:w="3119" w:type="dxa"/>
          </w:tcPr>
          <w:p w14:paraId="583C9DE7" w14:textId="77777777" w:rsidR="00BB48CE" w:rsidRDefault="00000000">
            <w:pPr>
              <w:jc w:val="both"/>
              <w:rPr>
                <w:b/>
                <w:szCs w:val="24"/>
              </w:rPr>
            </w:pPr>
            <w:r>
              <w:rPr>
                <w:b/>
                <w:bCs/>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prisitaikymo prie klimato kaitos tikslą.</w:t>
            </w:r>
          </w:p>
          <w:p w14:paraId="288278E4" w14:textId="77777777" w:rsidR="00BB48CE" w:rsidRDefault="00BB48CE">
            <w:pPr>
              <w:jc w:val="both"/>
              <w:rPr>
                <w:b/>
                <w:szCs w:val="24"/>
              </w:rPr>
            </w:pPr>
          </w:p>
          <w:p w14:paraId="306491BB" w14:textId="77777777" w:rsidR="00BB48CE" w:rsidRDefault="00000000">
            <w:pPr>
              <w:jc w:val="both"/>
              <w:rPr>
                <w:bCs/>
                <w:szCs w:val="24"/>
              </w:rPr>
            </w:pPr>
            <w:r>
              <w:rPr>
                <w:bCs/>
                <w:szCs w:val="24"/>
              </w:rPr>
              <w:t xml:space="preserve">Vertinama, kad planuojamos reformos investicijos neturės neigiamos įtakos prisitaikymo prie klimato kaitos pastangoms ar atsparumui žmonių, gamtos, turto ir kitos ekonominės veiklos rizikai ir yra suderintos su vietos, sektoriaus ir šalies prisitaikymo pastangomis. </w:t>
            </w:r>
          </w:p>
          <w:p w14:paraId="1D3770AD" w14:textId="77777777" w:rsidR="00BB48CE" w:rsidRDefault="00000000">
            <w:pPr>
              <w:jc w:val="both"/>
            </w:pPr>
            <w:r>
              <w:t xml:space="preserve">Pagal šią priemonę pagamintos biometano dujos turės atitikti į Atsinaujinančių išteklių energetikos įstatymą </w:t>
            </w:r>
            <w:r>
              <w:lastRenderedPageBreak/>
              <w:t xml:space="preserve">perkeltus Direktyvoje </w:t>
            </w:r>
            <w:hyperlink r:id="rId37" w:tgtFrame="_blank" w:history="1">
              <w:r>
                <w:rPr>
                  <w:color w:val="0563C1" w:themeColor="hyperlink"/>
                  <w:u w:val="single"/>
                </w:rPr>
                <w:t>2018/2001</w:t>
              </w:r>
            </w:hyperlink>
            <w:r>
              <w:t xml:space="preserve"> įtvirtintus biodegalų tvarumo ir šiltnamio efektą sukeliančių dujų sumažėjimo kriterijus. Kadangi tai yra nauji gamybos įrenginiai, bus reikalaujama, kad juose pagaminti biodegalai ir biometano dujos sutaupytų nemažiau kaip 65 % šiltnamio efektą sukeliančių dujų, palyginti su iškastiniu kuru. Biometano dujos taip pat galės būti gaminamos tik iš žaliavų, kurios yra priskiriamos atliekoms arba liekanoms (Direktyvos </w:t>
            </w:r>
            <w:hyperlink r:id="rId38" w:tgtFrame="_blank" w:history="1">
              <w:r>
                <w:rPr>
                  <w:color w:val="0563C1" w:themeColor="hyperlink"/>
                  <w:u w:val="single"/>
                </w:rPr>
                <w:t>2018/2001</w:t>
              </w:r>
            </w:hyperlink>
            <w:r>
              <w:t xml:space="preserve"> IX priedo žaliavos) ir negalės būti gaminamos iš maistinės kilmės žaliavų (</w:t>
            </w:r>
            <w:r>
              <w:rPr>
                <w:i/>
                <w:iCs/>
              </w:rPr>
              <w:t>food and feed crops</w:t>
            </w:r>
            <w:r>
              <w:t>). Biodegalų ir biometano dujų gamintojai turės pateikti visos savo produkcijos tvarumą patvirtinančius sertifikatus (</w:t>
            </w:r>
            <w:r>
              <w:rPr>
                <w:i/>
                <w:iCs/>
              </w:rPr>
              <w:t>Proof of Sustainability</w:t>
            </w:r>
            <w:r>
              <w:t xml:space="preserve">), išduotus nepriklausomų vertintojų, kaip yra numatyta Direktyvoje </w:t>
            </w:r>
            <w:hyperlink r:id="rId39" w:tgtFrame="_blank" w:history="1">
              <w:r>
                <w:rPr>
                  <w:color w:val="0563C1" w:themeColor="hyperlink"/>
                  <w:u w:val="single"/>
                </w:rPr>
                <w:t>2018/2001</w:t>
              </w:r>
            </w:hyperlink>
            <w:r>
              <w:t xml:space="preserve">. Šios priemonės atitinka prisitaikymo prie klimato kaitos tikslą dar ir todėl, kad paraleliai yra siekiama užtikrinti tvarių biometano dujų ilgalaikį naudojimą transporto priemonėse. Nuo 2022 m. yra didinami įpareigojimai degalų tiekėjams dėl biodegalų įmaišymo į degalus. Įpareigojimai didėja nuo 6,8 % 2022 m. iki 16,8 % 2030 m. Nuo 2025 m. taip pat atsiranda privalomi įpareigojimai transporto sektoriaus gamtinių dujų tiekėjams, kurie taip pat palaipsniui didėja iki 16,8 % 2030 m. Nauja įpareigojimų schema jau yra įtvirtinta Alternatyviųjų degalų įstatyme, kuris įsigaliojo 2021 </w:t>
            </w:r>
            <w:r>
              <w:lastRenderedPageBreak/>
              <w:t xml:space="preserve">m. birželio 30 d. Nauja schema užtikrina, kad pagaminti biodegalai būtų suvartojami transporto sektoriuje ir pakeistų analogišką dalį iškastinės kilmės degalų. </w:t>
            </w:r>
          </w:p>
          <w:p w14:paraId="72EA6A19" w14:textId="77777777" w:rsidR="00BB48CE" w:rsidRDefault="00000000">
            <w:pPr>
              <w:jc w:val="both"/>
              <w:rPr>
                <w:rFonts w:eastAsia="Calibri"/>
                <w:bCs/>
                <w:szCs w:val="24"/>
              </w:rPr>
            </w:pPr>
            <w:r>
              <w:rPr>
                <w:bCs/>
                <w:szCs w:val="24"/>
              </w:rPr>
              <w:t xml:space="preserve">Taip pat pažymėtina, kad nėra numatomas reikšmingas klimato kaitos padarinių poveikis planuojamai infrastruktūrai pagal tai, kaip tą poveikį šiuo metu apibrėžia Komisijos Deleguotojo akto dėl techninių DNSH vertinimo kriterijų projektas. </w:t>
            </w:r>
          </w:p>
        </w:tc>
        <w:tc>
          <w:tcPr>
            <w:tcW w:w="3659" w:type="dxa"/>
          </w:tcPr>
          <w:p w14:paraId="25F52557" w14:textId="77777777" w:rsidR="00BB48CE" w:rsidRDefault="00000000">
            <w:pPr>
              <w:jc w:val="both"/>
              <w:rPr>
                <w:szCs w:val="24"/>
              </w:rPr>
            </w:pPr>
            <w:r>
              <w:rPr>
                <w:shd w:val="clear" w:color="auto" w:fill="FFFFFF"/>
              </w:rPr>
              <w:lastRenderedPageBreak/>
              <w:t>L</w:t>
            </w:r>
            <w:r>
              <w:rPr>
                <w:szCs w:val="24"/>
              </w:rPr>
              <w:t xml:space="preserve">aikoma, kad investicijos į  </w:t>
            </w:r>
            <w:r>
              <w:rPr>
                <w:shd w:val="clear" w:color="auto" w:fill="FFFFFF"/>
              </w:rPr>
              <w:t xml:space="preserve">biometano dujų gamybos įrenginius tiesiogiai prisideda </w:t>
            </w:r>
            <w:r>
              <w:rPr>
                <w:szCs w:val="24"/>
              </w:rPr>
              <w:t>prie prisitaikymo prie klimato kaitos tikslo.</w:t>
            </w:r>
          </w:p>
          <w:p w14:paraId="48A62F94" w14:textId="77777777" w:rsidR="00BB48CE" w:rsidRDefault="00BB48CE">
            <w:pPr>
              <w:jc w:val="both"/>
              <w:rPr>
                <w:szCs w:val="24"/>
              </w:rPr>
            </w:pPr>
          </w:p>
          <w:p w14:paraId="2A7C2AB7" w14:textId="77777777" w:rsidR="00BB48CE" w:rsidRDefault="00000000">
            <w:pPr>
              <w:jc w:val="both"/>
              <w:rPr>
                <w:bCs/>
                <w:szCs w:val="24"/>
              </w:rPr>
            </w:pPr>
            <w:r>
              <w:rPr>
                <w:szCs w:val="24"/>
              </w:rPr>
              <w:t xml:space="preserve">Su PĮP pateikiama laisvos formos deklaracija, kad įgyvendinant projektą </w:t>
            </w:r>
            <w:r>
              <w:rPr>
                <w:bCs/>
                <w:szCs w:val="24"/>
              </w:rPr>
              <w:t xml:space="preserve">bus laikomasi reikalavimų dėl biometano dujų gamybos iš specifinių žaliavų (nurodytų Direktyvos </w:t>
            </w:r>
            <w:hyperlink r:id="rId40" w:tgtFrame="_blank" w:history="1">
              <w:r>
                <w:rPr>
                  <w:bCs/>
                  <w:color w:val="0563C1" w:themeColor="hyperlink"/>
                  <w:szCs w:val="24"/>
                  <w:u w:val="single"/>
                </w:rPr>
                <w:t>2018/2001</w:t>
              </w:r>
            </w:hyperlink>
            <w:r>
              <w:rPr>
                <w:bCs/>
                <w:szCs w:val="24"/>
              </w:rPr>
              <w:t xml:space="preserve"> IX priede), kaip nurodyta PFSA. </w:t>
            </w:r>
          </w:p>
          <w:p w14:paraId="787F822C" w14:textId="77777777" w:rsidR="00BB48CE" w:rsidRDefault="00BB48CE">
            <w:pPr>
              <w:jc w:val="both"/>
              <w:rPr>
                <w:bCs/>
                <w:szCs w:val="24"/>
              </w:rPr>
            </w:pPr>
          </w:p>
          <w:p w14:paraId="4EB1CE11" w14:textId="77777777" w:rsidR="00BB48CE" w:rsidRDefault="00000000">
            <w:pPr>
              <w:jc w:val="both"/>
            </w:pPr>
            <w:r>
              <w:t>Biometano dujų gamintojo taip pat bus reikalaujama, kad jis turėtų sertifikatą pagal vieną iš Europos Komisijos patvirtintų nepriklausomų sertifikavimo schemų ir esant poreikiui įrodytų gaminamų biometano dujų atitiktį tvarumo ir išmetamųjų šiltnami efektą sukeliančių dujų sumažėjimo kriterijams, įtvirtintiems Atsinaujinančių išteklių energetikos įstatyme. Su PĮP pateikiama informacija, kada administruojančiai institucijai bus pateikiamas sertifikatas.</w:t>
            </w:r>
          </w:p>
          <w:p w14:paraId="163B343A" w14:textId="77777777" w:rsidR="00BB48CE" w:rsidRDefault="00BB48CE">
            <w:pPr>
              <w:jc w:val="both"/>
            </w:pPr>
          </w:p>
          <w:p w14:paraId="784F4492" w14:textId="77777777" w:rsidR="00BB48CE" w:rsidRDefault="00000000">
            <w:pPr>
              <w:jc w:val="both"/>
              <w:rPr>
                <w:rFonts w:eastAsia="Calibri"/>
                <w:b/>
                <w:bCs/>
              </w:rPr>
            </w:pPr>
            <w:r>
              <w:rPr>
                <w:rFonts w:eastAsia="Calibri"/>
              </w:rPr>
              <w:t>PĮP nurodyti dokumentus, kuriuose bus nustatyti papildomi atitikties reikalavimai: pirkimo dokumentai, sutartys su tiekėjais ar paslaugų teikėjais, komerciniai pasiūlymai ir kt.</w:t>
            </w:r>
          </w:p>
        </w:tc>
      </w:tr>
      <w:tr w:rsidR="00BB48CE" w14:paraId="19A2B158" w14:textId="77777777">
        <w:tc>
          <w:tcPr>
            <w:tcW w:w="3139" w:type="dxa"/>
          </w:tcPr>
          <w:p w14:paraId="5C83F2AA" w14:textId="77777777" w:rsidR="00BB48CE" w:rsidRDefault="00000000">
            <w:pPr>
              <w:tabs>
                <w:tab w:val="left" w:pos="289"/>
              </w:tabs>
              <w:ind w:firstLine="5"/>
              <w:jc w:val="both"/>
              <w:rPr>
                <w:rFonts w:eastAsia="Calibri"/>
                <w:szCs w:val="24"/>
              </w:rPr>
            </w:pPr>
            <w:r>
              <w:rPr>
                <w:rFonts w:eastAsia="Calibri"/>
                <w:szCs w:val="24"/>
              </w:rPr>
              <w:lastRenderedPageBreak/>
              <w:t>3.</w:t>
            </w:r>
            <w:r>
              <w:rPr>
                <w:rFonts w:eastAsia="Calibri"/>
                <w:szCs w:val="24"/>
              </w:rPr>
              <w:tab/>
              <w:t>Tausus vandens ir jūrų išteklių naudojimas ir apsauga</w:t>
            </w:r>
          </w:p>
        </w:tc>
        <w:tc>
          <w:tcPr>
            <w:tcW w:w="3119" w:type="dxa"/>
          </w:tcPr>
          <w:p w14:paraId="4D014B75" w14:textId="77777777" w:rsidR="00BB48CE" w:rsidRDefault="00000000">
            <w:pPr>
              <w:tabs>
                <w:tab w:val="left" w:pos="34"/>
              </w:tabs>
              <w:ind w:left="51"/>
              <w:jc w:val="both"/>
              <w:rPr>
                <w:rFonts w:eastAsia="Calibri"/>
                <w:b/>
                <w:szCs w:val="24"/>
              </w:rPr>
            </w:pPr>
            <w:r>
              <w:rPr>
                <w:b/>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Tausaus vandens ir jūrų išteklių naudojimo ir apsaugos tikslą.</w:t>
            </w:r>
          </w:p>
          <w:p w14:paraId="45B8B054" w14:textId="77777777" w:rsidR="00BB48CE" w:rsidRDefault="00000000">
            <w:pPr>
              <w:tabs>
                <w:tab w:val="left" w:pos="34"/>
              </w:tabs>
              <w:ind w:left="51"/>
              <w:jc w:val="both"/>
              <w:rPr>
                <w:szCs w:val="24"/>
              </w:rPr>
            </w:pPr>
            <w:r>
              <w:rPr>
                <w:szCs w:val="24"/>
              </w:rPr>
              <w:t xml:space="preserve">Reformos veiklos neturės jokio neigiamo tiesioginio ar netiesioginio poveikio tausaus vandens ir jūsų išteklių naudojimo ir apsaugos tikslui, nes neplanuojama statyti jokios infrastruktūros vandens telkinių apsaugos zonose ir neplanuojama kurti būsimos infrastruktūros arti vandens telkinių, kas galėtų turėti neigiamą poveikį tausaus vandens ir jūrų išteklių naudojimui. </w:t>
            </w:r>
          </w:p>
          <w:p w14:paraId="595164C6" w14:textId="77777777" w:rsidR="00BB48CE" w:rsidRDefault="00000000">
            <w:pPr>
              <w:tabs>
                <w:tab w:val="left" w:pos="34"/>
              </w:tabs>
              <w:ind w:left="51" w:firstLine="62"/>
              <w:jc w:val="both"/>
              <w:rPr>
                <w:sz w:val="22"/>
                <w:szCs w:val="22"/>
              </w:rPr>
            </w:pPr>
            <w:r>
              <w:rPr>
                <w:szCs w:val="24"/>
              </w:rPr>
              <w:t xml:space="preserve">Įgyvendinant atskiras investicines priemones bus reikalaujama atlikti poveikio aplinkai vertinimą, kaip yra numatyta nacionaliniuose teisės aktuose, </w:t>
            </w:r>
            <w:r>
              <w:rPr>
                <w:szCs w:val="24"/>
              </w:rPr>
              <w:lastRenderedPageBreak/>
              <w:t xml:space="preserve">perkeliančiuose Direktyvos </w:t>
            </w:r>
            <w:hyperlink r:id="rId41" w:tgtFrame="_blank" w:history="1">
              <w:r>
                <w:rPr>
                  <w:color w:val="0563C1" w:themeColor="hyperlink"/>
                  <w:szCs w:val="24"/>
                  <w:u w:val="single"/>
                </w:rPr>
                <w:t>2011/92</w:t>
              </w:r>
            </w:hyperlink>
            <w:r>
              <w:rPr>
                <w:szCs w:val="24"/>
              </w:rPr>
              <w:t xml:space="preserve">/EU nuostatas. Poveikio aplinkai vertinimo metu nustatyti neatitikimai ar rizikos dėl žalos padarymo vandens ištekliams turės būti nedelsiant pašalinami.  </w:t>
            </w:r>
          </w:p>
        </w:tc>
        <w:tc>
          <w:tcPr>
            <w:tcW w:w="3659" w:type="dxa"/>
          </w:tcPr>
          <w:p w14:paraId="2293ED1A" w14:textId="77777777" w:rsidR="00BB48CE" w:rsidRDefault="00000000">
            <w:pPr>
              <w:jc w:val="both"/>
              <w:rPr>
                <w:szCs w:val="24"/>
              </w:rPr>
            </w:pPr>
            <w:r>
              <w:rPr>
                <w:bCs/>
                <w:szCs w:val="24"/>
              </w:rPr>
              <w:lastRenderedPageBreak/>
              <w:t xml:space="preserve">Vadovaujantis Lietuvos Respublikos planuojamos ūkinės veiklos poveikio aplinkai vertinimo įstatymu, iki projekto įgyvendinimo plano pateikimo pareiškėjas turi būti atlikęs Poveikio aplinkai vertinimą ir turi būti pateikti atsakingos institucijos galiojantys dokumentai (jeigu taikoma). Projekto įgyvendinimo plane </w:t>
            </w:r>
            <w:r>
              <w:rPr>
                <w:szCs w:val="24"/>
              </w:rPr>
              <w:t>pateiktas pagrindimas apie statomų įrenginių vietovę, kurioje numatyta statyti įrenginius, su nuorodomis ar vietovės žemėlapio kopijomis, įrodančiomis, kad neplanuojama statyti jokios infrastruktūros vandens telkinių apsaugos zonose arba neplanuojama kurti būsimos infrastruktūros arti vandens telkinių, kas galėtų turėti neigiamą poveikį tausaus vandens ir jūrų išteklių naudojimui.</w:t>
            </w:r>
          </w:p>
          <w:p w14:paraId="1FFBCAE0" w14:textId="77777777" w:rsidR="00BB48CE" w:rsidRDefault="00BB48CE">
            <w:pPr>
              <w:jc w:val="both"/>
              <w:rPr>
                <w:rFonts w:eastAsia="Calibri"/>
                <w:bCs/>
                <w:szCs w:val="24"/>
              </w:rPr>
            </w:pPr>
          </w:p>
        </w:tc>
      </w:tr>
      <w:tr w:rsidR="00BB48CE" w14:paraId="26664B98" w14:textId="77777777">
        <w:tc>
          <w:tcPr>
            <w:tcW w:w="3139" w:type="dxa"/>
          </w:tcPr>
          <w:p w14:paraId="117A38C4" w14:textId="77777777" w:rsidR="00BB48CE" w:rsidRDefault="00000000">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3119" w:type="dxa"/>
          </w:tcPr>
          <w:p w14:paraId="18E068BC" w14:textId="77777777" w:rsidR="00BB48CE" w:rsidRDefault="00000000">
            <w:pPr>
              <w:tabs>
                <w:tab w:val="left" w:pos="1245"/>
              </w:tabs>
              <w:jc w:val="both"/>
              <w:rPr>
                <w:szCs w:val="24"/>
              </w:rPr>
            </w:pPr>
            <w:r>
              <w:rPr>
                <w:b/>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žiedinės ekonomikos, įskaitant atliekų prevenciją ir perdirbimą</w:t>
            </w:r>
            <w:r>
              <w:rPr>
                <w:szCs w:val="24"/>
              </w:rPr>
              <w:t xml:space="preserve">, </w:t>
            </w:r>
            <w:r>
              <w:rPr>
                <w:b/>
                <w:bCs/>
                <w:szCs w:val="24"/>
              </w:rPr>
              <w:t>tikslą.</w:t>
            </w:r>
            <w:r>
              <w:rPr>
                <w:szCs w:val="24"/>
              </w:rPr>
              <w:t xml:space="preserve"> </w:t>
            </w:r>
          </w:p>
          <w:p w14:paraId="741EAA3E" w14:textId="77777777" w:rsidR="00BB48CE" w:rsidRDefault="00BB48CE">
            <w:pPr>
              <w:tabs>
                <w:tab w:val="left" w:pos="1245"/>
              </w:tabs>
              <w:jc w:val="both"/>
              <w:rPr>
                <w:szCs w:val="24"/>
              </w:rPr>
            </w:pPr>
          </w:p>
          <w:p w14:paraId="57760455" w14:textId="77777777" w:rsidR="00BB48CE" w:rsidRDefault="00000000">
            <w:pPr>
              <w:jc w:val="both"/>
            </w:pPr>
            <w:r>
              <w:t xml:space="preserve">Reformos veiklos neturės jokio neigiamo tiesioginio ar netiesioginio poveikio žiedinės ekonomikos, įskaitant atliekų prevenciją ir perdirbimą, tikslui, nes įrengiant degalų iš atsinaujinančių energijos išteklių gamybos procesams reikalingą infrastruktūrą užtikrinamas efektyvus atliekų susirinkimas, naudojamasi statybinių atliekų rūšiavimo sistemomis, bus numatyta aiški susidarančių atliekų tvarkymo ir šalinimo tvarka. Priemone įtvirtinama veikla iš esmės yra glaudžiai susijusi su žiedinės ekonomikos principų įgyvendinimu, nes gaminant skystuosius ir dujinius biodegalus bus naudojamos tik antrinės atliekoms ir liekanoms priskiriamos žaliavos. Pagaminti biodegalai ir biodujos turės atitikti Direktyvoje </w:t>
            </w:r>
            <w:hyperlink r:id="rId42" w:tgtFrame="_blank" w:history="1">
              <w:r>
                <w:rPr>
                  <w:color w:val="0563C1" w:themeColor="hyperlink"/>
                  <w:u w:val="single"/>
                </w:rPr>
                <w:t>2018/2001</w:t>
              </w:r>
            </w:hyperlink>
            <w:r>
              <w:t xml:space="preserve"> </w:t>
            </w:r>
            <w:r>
              <w:lastRenderedPageBreak/>
              <w:t>įtvirtintus biodegalų tvarumo kriterijus ir nemažiau kaip 65 % sumažinti šiltnamio efektą sukeliančių dujų kiekį, palyginti su naudojamu iškastiniu kuru.</w:t>
            </w:r>
          </w:p>
          <w:p w14:paraId="65911BCD" w14:textId="77777777" w:rsidR="00BB48CE" w:rsidRDefault="00000000">
            <w:pPr>
              <w:jc w:val="both"/>
            </w:pPr>
            <w:r>
              <w:t xml:space="preserve">Įgyvendinant veiklas bus užtikrintas Direktyvos </w:t>
            </w:r>
            <w:hyperlink r:id="rId43" w:tgtFrame="_blank" w:history="1">
              <w:r>
                <w:rPr>
                  <w:color w:val="0563C1" w:themeColor="hyperlink"/>
                  <w:u w:val="single"/>
                </w:rPr>
                <w:t>2008/98/ES</w:t>
              </w:r>
            </w:hyperlink>
            <w:r>
              <w:t xml:space="preserve"> reikalavimų laikymasis, įpareigojant jų laikytis projektų vykdytojus.</w:t>
            </w:r>
          </w:p>
          <w:p w14:paraId="0AE46908" w14:textId="77777777" w:rsidR="00BB48CE" w:rsidRDefault="00BB48CE">
            <w:pPr>
              <w:jc w:val="both"/>
            </w:pPr>
          </w:p>
          <w:p w14:paraId="779E1E69" w14:textId="77777777" w:rsidR="00BB48CE" w:rsidRDefault="00000000">
            <w:pPr>
              <w:jc w:val="both"/>
            </w:pPr>
            <w:r>
              <w:t>Taip pat gamintojas įsipareigos per visą įrangos gyvavimo laikotarpį vykdyti visapusišką įrenginių priežiūrą, šalinti gedimus ir keisti įrenginių elementus nustatyta tvarka.</w:t>
            </w:r>
          </w:p>
          <w:p w14:paraId="08019F6E" w14:textId="77777777" w:rsidR="00BB48CE" w:rsidRDefault="00BB48CE">
            <w:pPr>
              <w:jc w:val="both"/>
            </w:pPr>
          </w:p>
          <w:p w14:paraId="414DE70C" w14:textId="77777777" w:rsidR="00BB48CE" w:rsidRDefault="00000000">
            <w:pPr>
              <w:ind w:firstLine="62"/>
              <w:jc w:val="both"/>
            </w:pPr>
            <w:r>
              <w:t>Planuojama kurti infrastruktūra turės atitikti Statybos techninio reglamento bei kitų teisės aktų reikalavimus, bus užtikrinamas efektyvus atliekų susirinkimas, skatinamas atskirų dalių pakartotinis naudojimas bei statytojams bus numatyti reikalavimai riboti atliekų susidarymą statybos metu, taikyti naujausius metodus, pakartotinį medžiagų naudojimą ar perdirbimą, naudojantis pažangiomis statybinių atliekų rūšiavimo sistemomis. Todėl laikoma, kad veiklos atitinka žiedinės ekonomikos tikslą. Numatoma:</w:t>
            </w:r>
          </w:p>
          <w:p w14:paraId="64A59804" w14:textId="77777777" w:rsidR="00BB48CE" w:rsidRDefault="00000000">
            <w:pPr>
              <w:tabs>
                <w:tab w:val="left" w:pos="283"/>
              </w:tabs>
              <w:jc w:val="both"/>
            </w:pPr>
            <w:r>
              <w:t>•</w:t>
            </w:r>
            <w:r>
              <w:tab/>
              <w:t xml:space="preserve">mažiausiai 70 % (pagal svorį) nepavojingų statybvietėje susidarančių atliekų (išskyrus natūraliai atsirandančias medžiagas, nurodytas Europos sąrašo 17 05 04 kategorijoje) 2000/532/EB turėtų būti parengtos pakartotinai naudoti, perdirbti ir kitoms medžiagų panaudojimo </w:t>
            </w:r>
            <w:r>
              <w:lastRenderedPageBreak/>
              <w:t xml:space="preserve">galimybėms, įskaitant užpildymo operacijas, naudojant atliekas kitoms medžiagoms pakeisti, laikantis atliekų hierarchijos ir ES statybos ir griovimo atliekų tvarkymo protokolo; </w:t>
            </w:r>
          </w:p>
          <w:p w14:paraId="3FC5B76E" w14:textId="77777777" w:rsidR="00BB48CE" w:rsidRDefault="00000000">
            <w:pPr>
              <w:tabs>
                <w:tab w:val="left" w:pos="495"/>
                <w:tab w:val="left" w:pos="992"/>
              </w:tabs>
              <w:jc w:val="both"/>
            </w:pPr>
            <w:r>
              <w:t>•</w:t>
            </w:r>
            <w:r>
              <w:tab/>
              <w:t>operatoriai turėtų riboti atliekų susidarymą procesuose, susijusiuose su statyba ir griovimu, laikydamiesi ES Statybos ir griovimo atliekų tvarkymo protokolo ir atsižvelgdami į geriausius prieinamus metodus ir naudodami selektyvų griovimą, kad būtų galima pašalinti ir saugiai tvarkyti pavojingas medžiagas ir palengvinti pakartotinį perdirbimą;</w:t>
            </w:r>
          </w:p>
          <w:p w14:paraId="1F1AD8F8" w14:textId="77777777" w:rsidR="00BB48CE" w:rsidRDefault="00000000">
            <w:pPr>
              <w:jc w:val="both"/>
            </w:pPr>
            <w:r>
              <w:t xml:space="preserve">• naudoti, modernizuoti ir kokybiškai perdirbti turimas statybinių ir griovimo atliekų rūšiavimo sistemas; </w:t>
            </w:r>
          </w:p>
          <w:p w14:paraId="64026C0C" w14:textId="77777777" w:rsidR="00BB48CE" w:rsidRDefault="00000000">
            <w:pPr>
              <w:jc w:val="both"/>
            </w:pPr>
            <w:r>
              <w:t>• pastatų projektai ir statybos metodai turės būti paremti efektyvia analize atsižvelgiant į ISO 20887, taip pat skatinti naudoti pakartotinai panaudojamas medžiagas.</w:t>
            </w:r>
          </w:p>
          <w:p w14:paraId="4BF7ECEA" w14:textId="77777777" w:rsidR="00BB48CE" w:rsidRDefault="00000000">
            <w:pPr>
              <w:jc w:val="both"/>
            </w:pPr>
            <w:r>
              <w:t xml:space="preserve">Įgyvendinant veiklas bus užtikrinta, kad bus laikomasi Direktyvos </w:t>
            </w:r>
            <w:hyperlink r:id="rId44" w:tgtFrame="_blank" w:history="1">
              <w:r>
                <w:rPr>
                  <w:color w:val="0563C1" w:themeColor="hyperlink"/>
                  <w:u w:val="single"/>
                </w:rPr>
                <w:t>2008/98/ES</w:t>
              </w:r>
            </w:hyperlink>
            <w:r>
              <w:t xml:space="preserve"> reikalavimų, įpareigojant jų laikytis projektų vykdytojus.</w:t>
            </w:r>
          </w:p>
          <w:p w14:paraId="01489DB6" w14:textId="77777777" w:rsidR="00BB48CE" w:rsidRDefault="00000000">
            <w:pPr>
              <w:jc w:val="both"/>
              <w:rPr>
                <w:rFonts w:eastAsia="Calibri"/>
                <w:bCs/>
                <w:szCs w:val="24"/>
              </w:rPr>
            </w:pPr>
            <w:r>
              <w:rPr>
                <w:szCs w:val="24"/>
              </w:rPr>
              <w:t xml:space="preserve">Pasibaigus įrangos eksploatavimo laikui, ji bus saugiai paruošta pakartotinai naudoti ar perdirbti pagal parengtą atliekų tvarkymo planą, užtikrinantį maksimalų elektros ir elektroninės įrangos perdirbimą po jų eksploatavimo laiko, kaip tai numato Direktyva </w:t>
            </w:r>
            <w:hyperlink r:id="rId45" w:tgtFrame="_blank" w:history="1">
              <w:r>
                <w:rPr>
                  <w:color w:val="0563C1" w:themeColor="hyperlink"/>
                  <w:szCs w:val="24"/>
                  <w:u w:val="single"/>
                </w:rPr>
                <w:t>2012/19/ES</w:t>
              </w:r>
            </w:hyperlink>
            <w:r>
              <w:rPr>
                <w:szCs w:val="24"/>
              </w:rPr>
              <w:t xml:space="preserve">. </w:t>
            </w:r>
          </w:p>
        </w:tc>
        <w:tc>
          <w:tcPr>
            <w:tcW w:w="3659" w:type="dxa"/>
          </w:tcPr>
          <w:p w14:paraId="59D6F448" w14:textId="77777777" w:rsidR="00BB48CE" w:rsidRDefault="00000000">
            <w:pPr>
              <w:jc w:val="both"/>
              <w:rPr>
                <w:rFonts w:eastAsia="Calibri"/>
                <w:szCs w:val="24"/>
                <w:lang w:val="lt"/>
              </w:rPr>
            </w:pPr>
            <w:r>
              <w:rPr>
                <w:rFonts w:eastAsia="Calibri"/>
                <w:lang w:val="lt"/>
              </w:rPr>
              <w:lastRenderedPageBreak/>
              <w:t xml:space="preserve">Vadovaujantis 2021 m. birželio 4 d. Komisijos deleguotojo reglamento </w:t>
            </w:r>
            <w:hyperlink r:id="rId46" w:tgtFrame="_blank" w:history="1">
              <w:r>
                <w:rPr>
                  <w:rFonts w:eastAsia="Calibri"/>
                  <w:color w:val="0563C1" w:themeColor="hyperlink"/>
                  <w:u w:val="single"/>
                  <w:lang w:val="lt"/>
                </w:rPr>
                <w:t>(ES) 2021/2139</w:t>
              </w:r>
            </w:hyperlink>
            <w:r>
              <w:rPr>
                <w:rFonts w:eastAsia="Calibri"/>
                <w:lang w:val="lt"/>
              </w:rPr>
              <w:t xml:space="preserve"> 4.13 punkto „</w:t>
            </w:r>
            <w:r>
              <w:rPr>
                <w:szCs w:val="24"/>
                <w:lang w:val="lt"/>
              </w:rPr>
              <w:t>Naudoti transporte skirtų biodujų ir biodegalų bei skystųjų bioproduktų gamyba“ 4 dalimi aplinkos tikslas „Perėjimas prie žiedinės ekonomikos“ netaikomas. Pagrindimo dokumentai neteikiami.</w:t>
            </w:r>
          </w:p>
        </w:tc>
      </w:tr>
      <w:tr w:rsidR="00BB48CE" w14:paraId="42F0F994" w14:textId="77777777">
        <w:tc>
          <w:tcPr>
            <w:tcW w:w="3139" w:type="dxa"/>
          </w:tcPr>
          <w:p w14:paraId="3D6ED891" w14:textId="77777777" w:rsidR="00BB48CE" w:rsidRDefault="00000000">
            <w:pPr>
              <w:tabs>
                <w:tab w:val="left" w:pos="289"/>
              </w:tabs>
              <w:ind w:firstLine="5"/>
              <w:jc w:val="both"/>
              <w:rPr>
                <w:rFonts w:eastAsia="Calibri"/>
                <w:szCs w:val="24"/>
              </w:rPr>
            </w:pPr>
            <w:r>
              <w:rPr>
                <w:rFonts w:eastAsia="Calibri"/>
                <w:szCs w:val="24"/>
              </w:rPr>
              <w:lastRenderedPageBreak/>
              <w:t>5.</w:t>
            </w:r>
            <w:r>
              <w:rPr>
                <w:rFonts w:eastAsia="Calibri"/>
                <w:szCs w:val="24"/>
              </w:rPr>
              <w:tab/>
            </w:r>
            <w:r>
              <w:rPr>
                <w:rFonts w:eastAsia="Calibri"/>
                <w:bCs/>
                <w:szCs w:val="24"/>
              </w:rPr>
              <w:t>Oro, vandens ar žemės taršos prevencija ir kontrolė</w:t>
            </w:r>
          </w:p>
        </w:tc>
        <w:tc>
          <w:tcPr>
            <w:tcW w:w="3119" w:type="dxa"/>
          </w:tcPr>
          <w:p w14:paraId="6076FE0D" w14:textId="77777777" w:rsidR="00BB48CE" w:rsidRDefault="00000000">
            <w:pPr>
              <w:tabs>
                <w:tab w:val="left" w:pos="360"/>
              </w:tabs>
              <w:jc w:val="both"/>
              <w:rPr>
                <w:rFonts w:eastAsia="Calibri"/>
                <w:b/>
                <w:bCs/>
              </w:rPr>
            </w:pPr>
            <w:r>
              <w:rPr>
                <w:b/>
                <w:bCs/>
              </w:rPr>
              <w:t xml:space="preserve">Vertinama, kad planuojama įgyvendinti reforma „Judame, neteršdami aplinkos“ neturi jokio numatomo poveikio šiam </w:t>
            </w:r>
            <w:r>
              <w:rPr>
                <w:b/>
                <w:bCs/>
              </w:rPr>
              <w:lastRenderedPageBreak/>
              <w:t>aplinkos tikslui arba numatomas jos poveikis yra nereikšmingas, t. y. nedaro tiesioginio ir pirminio netiesioginio poveikio per visą gyvavimo ciklą, todėl laikoma, kad reforma atitinka oro, vandens ar žemės taršos prevencijos ir kontrolės tikslą.</w:t>
            </w:r>
          </w:p>
          <w:p w14:paraId="4FFD2E96" w14:textId="77777777" w:rsidR="00BB48CE" w:rsidRDefault="00000000">
            <w:pPr>
              <w:jc w:val="both"/>
              <w:rPr>
                <w:szCs w:val="24"/>
              </w:rPr>
            </w:pPr>
            <w:r>
              <w:rPr>
                <w:szCs w:val="24"/>
              </w:rPr>
              <w:t xml:space="preserve">Planuojama biodujų gamybos iš atliekų ir pagamintų biodujų valymo veikla turės iš dalies neigiamą tiesioginį poveikį šiam aplinkos tikslui, nes biometano dujų gamybos proceso metu galimai bus fiksuojamas nežymus metano dujų nuotėkis. Apdorojant žaliavas prieš biometano dujų gamybą metano dujų emisijos faktorius pačioje biodujų jėgainėje galėtų sudaryti apie 3,7 % nuo jėgainėse pagaminamo biometano kiekio (kilogramais), todėl skaičiuojama, kad finansavimo lėšomis įrengtose biometano dujų jėgainėse metano (CH4) nuotėkis galėtų sudaryti apie 566,7 tonas per metus. Palyginti, Lietuvoje 2018 m. dėl mėšlo ir atliekų tvarkymo į aplinką buvo išmesta apie 38 840 tūkst. tonų CH4. </w:t>
            </w:r>
          </w:p>
          <w:p w14:paraId="3EF0FF9E" w14:textId="77777777" w:rsidR="00BB48CE" w:rsidRDefault="00000000">
            <w:pPr>
              <w:jc w:val="both"/>
              <w:rPr>
                <w:rFonts w:eastAsia="Calibri"/>
                <w:b/>
                <w:szCs w:val="24"/>
              </w:rPr>
            </w:pPr>
            <w:r>
              <w:rPr>
                <w:szCs w:val="24"/>
              </w:rPr>
              <w:t xml:space="preserve">Atsižvelgiant į tai, kad šie gamybos įrenginiai ženkliai mažina reikšmingesnes metano dujų emisijas, susidarančias dėl netvarkomų atliekų (mėšlo ir išmetamų komunalinių atliekų), laikytina, kad per visą technologijų eksploatacijos laikotarpį (gyvavimo ciklą) yra daromas reikšmingas teigiamas poveikis orui.  </w:t>
            </w:r>
          </w:p>
        </w:tc>
        <w:tc>
          <w:tcPr>
            <w:tcW w:w="3659" w:type="dxa"/>
          </w:tcPr>
          <w:p w14:paraId="3E8B230B" w14:textId="77777777" w:rsidR="00BB48CE" w:rsidRDefault="00000000">
            <w:pPr>
              <w:jc w:val="both"/>
            </w:pPr>
            <w:r>
              <w:lastRenderedPageBreak/>
              <w:t xml:space="preserve">Atsižvelgiant į tai, kad šie gamybos įrenginiai ženkliai mažina reikšmingesnes metano dujų emisijas, susidarančias dėl netvarkomų atliekų (mėšlo ir </w:t>
            </w:r>
            <w:r>
              <w:lastRenderedPageBreak/>
              <w:t xml:space="preserve">išmetamų komunalinių atliekų), laikytina, kad per visą technologijų eksploatacijos laikotarpį (gyvavimo ciklą) yra daromas reikšmingas teigiamas poveikis oro kokybei.  </w:t>
            </w:r>
          </w:p>
          <w:p w14:paraId="7ACC443E" w14:textId="77777777" w:rsidR="00BB48CE" w:rsidRDefault="00000000">
            <w:pPr>
              <w:jc w:val="both"/>
              <w:rPr>
                <w:bCs/>
                <w:szCs w:val="24"/>
              </w:rPr>
            </w:pPr>
            <w:r>
              <w:rPr>
                <w:bCs/>
                <w:szCs w:val="24"/>
              </w:rPr>
              <w:t>Veiklos neturės jokio neigiamo tiesioginio ar netiesioginio poveikio vandeniui ar žemei, nes, įgyvendinant kiekvieną iš priemonėje numatytų projektų, yra planuojamas poveikio aplinkai vertinimas, todėl bet koks projekto įgyvendinimo metu numatytas poveikis vandeniu ar žemei bus laikomas neleistinu ir turės būti eliminuotas.</w:t>
            </w:r>
          </w:p>
          <w:p w14:paraId="09630A45" w14:textId="77777777" w:rsidR="00BB48CE" w:rsidRDefault="00BB48CE">
            <w:pPr>
              <w:jc w:val="both"/>
            </w:pPr>
          </w:p>
          <w:p w14:paraId="378DA367" w14:textId="77777777" w:rsidR="00BB48CE" w:rsidRDefault="00000000">
            <w:pPr>
              <w:jc w:val="both"/>
            </w:pPr>
            <w:r>
              <w:rPr>
                <w:szCs w:val="24"/>
                <w:lang w:val="lt"/>
              </w:rPr>
              <w:t xml:space="preserve">Kiekvienai priemonėje įgyvendinamai veiklai bus atliekamos poveikio aplinkai vertinimo procedūros ir bus taikomos vertinimo metu nustatytos neigiamo poveikio šalinimo ar kompensavimo priemonės. </w:t>
            </w:r>
          </w:p>
          <w:p w14:paraId="4FC271F2" w14:textId="77777777" w:rsidR="00BB48CE" w:rsidRDefault="00000000">
            <w:pPr>
              <w:jc w:val="both"/>
            </w:pPr>
            <w:r>
              <w:br/>
            </w:r>
          </w:p>
          <w:p w14:paraId="719A2E59" w14:textId="77777777" w:rsidR="00BB48CE" w:rsidRDefault="00BB48CE">
            <w:pPr>
              <w:jc w:val="both"/>
              <w:rPr>
                <w:rFonts w:eastAsia="Calibri"/>
              </w:rPr>
            </w:pPr>
          </w:p>
        </w:tc>
      </w:tr>
      <w:tr w:rsidR="00BB48CE" w14:paraId="4471E047" w14:textId="77777777">
        <w:tc>
          <w:tcPr>
            <w:tcW w:w="3139" w:type="dxa"/>
          </w:tcPr>
          <w:p w14:paraId="31A37650" w14:textId="77777777" w:rsidR="00BB48CE" w:rsidRDefault="00000000">
            <w:pPr>
              <w:tabs>
                <w:tab w:val="left" w:pos="289"/>
              </w:tabs>
              <w:ind w:left="5" w:firstLine="5"/>
              <w:jc w:val="both"/>
              <w:rPr>
                <w:rFonts w:eastAsia="Calibri"/>
                <w:szCs w:val="24"/>
              </w:rPr>
            </w:pPr>
            <w:r>
              <w:rPr>
                <w:rFonts w:eastAsia="Calibri"/>
                <w:szCs w:val="24"/>
              </w:rPr>
              <w:t>6.</w:t>
            </w:r>
            <w:r>
              <w:rPr>
                <w:rFonts w:eastAsia="Calibri"/>
                <w:szCs w:val="24"/>
              </w:rPr>
              <w:tab/>
              <w:t>Biologinės įvairovės ir ekosistemų apsauga ir atkūrimas</w:t>
            </w:r>
          </w:p>
        </w:tc>
        <w:tc>
          <w:tcPr>
            <w:tcW w:w="3119" w:type="dxa"/>
          </w:tcPr>
          <w:p w14:paraId="66FEA2D7" w14:textId="77777777" w:rsidR="00BB48CE" w:rsidRDefault="00000000">
            <w:pPr>
              <w:jc w:val="both"/>
              <w:rPr>
                <w:b/>
                <w:szCs w:val="24"/>
              </w:rPr>
            </w:pPr>
            <w:r>
              <w:rPr>
                <w:b/>
                <w:szCs w:val="24"/>
              </w:rPr>
              <w:t xml:space="preserve">Vertinama, kad planuojama įgyvendinti reforma „Judame, neteršdami aplinkos“ neturi jokio </w:t>
            </w:r>
            <w:r>
              <w:rPr>
                <w:b/>
                <w:szCs w:val="24"/>
              </w:rPr>
              <w:lastRenderedPageBreak/>
              <w:t>numatomo poveikio šiam aplinkos tikslui arba numatomas jos poveikis yra nereikšmingas, t. y. nedaro tiesioginio ir pirminio netiesioginio poveikio per visą gyvavimo ciklą, todėl laikoma, kad reforma atitinka biologinės įvairovės ir ekosistemų apsaugos ir atkūrimo tikslą.</w:t>
            </w:r>
          </w:p>
          <w:p w14:paraId="51BA12C2" w14:textId="77777777" w:rsidR="00BB48CE" w:rsidRDefault="00BB48CE">
            <w:pPr>
              <w:jc w:val="both"/>
              <w:rPr>
                <w:b/>
                <w:szCs w:val="24"/>
              </w:rPr>
            </w:pPr>
          </w:p>
          <w:p w14:paraId="6A6E7198" w14:textId="77777777" w:rsidR="00BB48CE" w:rsidRDefault="00000000">
            <w:pPr>
              <w:jc w:val="both"/>
              <w:rPr>
                <w:bCs/>
                <w:szCs w:val="24"/>
              </w:rPr>
            </w:pPr>
            <w:r>
              <w:rPr>
                <w:bCs/>
                <w:szCs w:val="24"/>
              </w:rPr>
              <w:t>Veiklos neturės jokio neigiamo tiesioginio ar netiesioginio poveikio biologinės įvairovės ir ekosistemų apsaugos ir atkūrimo tikslui, nes, įgyvendinant kiekvieną iš priemonėje numatytų projektų, yra planuojamas poveikio aplinkai vertinimas, todėl bet koks projekto įgyvendinimo metu numatytas poveikis biologinei įvairovei ar ekosistemoms bus laikomas neleistinu ir turės būti eliminuotas. Šiame etape nustatyti tikslias dar planuojamų projektų įgyvendinimo vietas nėra galimybių. Pagal atliktą pirminį vertinimą ir pagal šiuo metu galiojančių teisės aktų reikalavimus poveikio „Natura 2000“ teritorijoms, biologinei įvairovei ir ekosistemai nebus.</w:t>
            </w:r>
          </w:p>
          <w:p w14:paraId="2A08BB3F" w14:textId="77777777" w:rsidR="00BB48CE" w:rsidRDefault="00BB48CE">
            <w:pPr>
              <w:jc w:val="both"/>
              <w:rPr>
                <w:bCs/>
                <w:szCs w:val="24"/>
              </w:rPr>
            </w:pPr>
          </w:p>
          <w:p w14:paraId="2C04305C" w14:textId="77777777" w:rsidR="00BB48CE" w:rsidRDefault="00000000">
            <w:pPr>
              <w:jc w:val="both"/>
              <w:rPr>
                <w:szCs w:val="24"/>
              </w:rPr>
            </w:pPr>
            <w:r>
              <w:rPr>
                <w:szCs w:val="24"/>
              </w:rPr>
              <w:t xml:space="preserve">Priemonė atitiks Direktyvose </w:t>
            </w:r>
            <w:hyperlink r:id="rId47" w:tgtFrame="_blank" w:history="1">
              <w:r>
                <w:rPr>
                  <w:color w:val="0563C1" w:themeColor="hyperlink"/>
                  <w:szCs w:val="24"/>
                  <w:u w:val="single"/>
                </w:rPr>
                <w:t>2009/1471</w:t>
              </w:r>
            </w:hyperlink>
            <w:r>
              <w:rPr>
                <w:szCs w:val="24"/>
              </w:rPr>
              <w:t xml:space="preserve"> ir </w:t>
            </w:r>
            <w:hyperlink r:id="rId48" w:tgtFrame="_blank" w:history="1">
              <w:r>
                <w:rPr>
                  <w:color w:val="0563C1" w:themeColor="hyperlink"/>
                  <w:szCs w:val="24"/>
                  <w:u w:val="single"/>
                </w:rPr>
                <w:t>92/43/EEB</w:t>
              </w:r>
            </w:hyperlink>
            <w:r>
              <w:rPr>
                <w:szCs w:val="24"/>
              </w:rPr>
              <w:t xml:space="preserve"> numatytus įsipareigojimus:</w:t>
            </w:r>
          </w:p>
          <w:p w14:paraId="37C01669" w14:textId="77777777" w:rsidR="00BB48CE" w:rsidRDefault="00000000">
            <w:pPr>
              <w:jc w:val="both"/>
              <w:rPr>
                <w:szCs w:val="24"/>
              </w:rPr>
            </w:pPr>
            <w:r>
              <w:rPr>
                <w:szCs w:val="24"/>
              </w:rPr>
              <w:t xml:space="preserve">Išsaugoti, palaikyti ar atkurti pakankamą buveinių įvairovę ir plotą visoms Europos Parlamento ir Tarybos 2009 m. lapkričio 30 d. direktyvos </w:t>
            </w:r>
            <w:hyperlink r:id="rId49" w:tgtFrame="_blank" w:history="1">
              <w:r>
                <w:rPr>
                  <w:color w:val="0563C1" w:themeColor="hyperlink"/>
                  <w:szCs w:val="24"/>
                  <w:u w:val="single"/>
                </w:rPr>
                <w:t>Nr. 2009/1471</w:t>
              </w:r>
            </w:hyperlink>
            <w:r>
              <w:rPr>
                <w:szCs w:val="24"/>
              </w:rPr>
              <w:t xml:space="preserve"> „Dėl laukinių paukščių apsaugos“ 1 straipsnyje nurodytoms paukščių rūšims. Vykdant šį reikalavimą, įranga nebus </w:t>
            </w:r>
            <w:r>
              <w:rPr>
                <w:szCs w:val="24"/>
              </w:rPr>
              <w:lastRenderedPageBreak/>
              <w:t>statoma šių paukščių buveinių saugomose teritorijose. Nebus nukrypstama nuo Direktyvos nuostatų jos 9 straipsnyje numatytais arba kokiais nors kitais pagrindais.</w:t>
            </w:r>
          </w:p>
          <w:p w14:paraId="5F287D94" w14:textId="77777777" w:rsidR="00BB48CE" w:rsidRDefault="00000000">
            <w:pPr>
              <w:jc w:val="both"/>
              <w:rPr>
                <w:rFonts w:eastAsia="Calibri"/>
                <w:b/>
                <w:bCs/>
              </w:rPr>
            </w:pPr>
            <w:r>
              <w:t xml:space="preserve">Nemontuoti įrangos ir nevykdyti statybų teritorijose, kurios pagal Tarybos 1992 m. gegužės 21 d. direktyvą </w:t>
            </w:r>
            <w:hyperlink r:id="rId50" w:tgtFrame="_blank" w:history="1">
              <w:r>
                <w:rPr>
                  <w:color w:val="0563C1" w:themeColor="hyperlink"/>
                  <w:u w:val="single"/>
                </w:rPr>
                <w:t>Nr. 92/43/EEB</w:t>
              </w:r>
            </w:hyperlink>
            <w:r>
              <w:t xml:space="preserve"> „Dėl natūralių buveinių ir laukinės faunos bei floros apsaugos“ laikomos natūraliomis buveinėmis. Nė viena iš šios priemonės veiklų netrikdys į Direktyvos V priedo A dalį įrašytų gyvūnų rūšių griežtos apsaugos jų paplitimo areale sistemos, draudžiančios trikdyti gyvūnus (ypatingai jų perėjimo, jauniklių auginimo, žiemos miego ir migracijos metu), taip pat pažeisti, naikinti perėjimo ar poilsio vietas (12 str. b ir d punktai). Išimtys pagal Direktyvos 16 straipsnį nenumatomos.</w:t>
            </w:r>
          </w:p>
        </w:tc>
        <w:tc>
          <w:tcPr>
            <w:tcW w:w="3659" w:type="dxa"/>
          </w:tcPr>
          <w:p w14:paraId="2F6682E3" w14:textId="77777777" w:rsidR="00BB48CE" w:rsidRDefault="00000000">
            <w:pPr>
              <w:jc w:val="both"/>
              <w:rPr>
                <w:szCs w:val="24"/>
              </w:rPr>
            </w:pPr>
            <w:r>
              <w:rPr>
                <w:iCs/>
                <w:szCs w:val="24"/>
              </w:rPr>
              <w:lastRenderedPageBreak/>
              <w:t>Iki priemonės įgyvendinimo plano pateikimo turi būti parengta informacija apie projektui taikomus aplinkosauginius reikalavimus:</w:t>
            </w:r>
          </w:p>
          <w:p w14:paraId="0AB81C6E" w14:textId="77777777" w:rsidR="00BB48CE" w:rsidRDefault="00000000">
            <w:pPr>
              <w:ind w:left="30" w:firstLine="425"/>
              <w:jc w:val="both"/>
              <w:rPr>
                <w:szCs w:val="24"/>
              </w:rPr>
            </w:pPr>
            <w:r>
              <w:rPr>
                <w:szCs w:val="24"/>
              </w:rPr>
              <w:t xml:space="preserve">1. Vadovaujantis Lietuvos Respublikos planuojamos ūkinės veiklos poveikio aplinkai vertinimo įstatymu, iki projekto įgyvendinimo plano pateikimo pareiškėjas turi būti atlikęs Poveikio aplinkai vertinimą </w:t>
            </w:r>
            <w:r>
              <w:rPr>
                <w:color w:val="000000"/>
              </w:rPr>
              <w:t>ir (ar) atrankos procedūrą bei turi būti pateikęs atsakingos institucijos galiojančius dokumentus (jeigu taikoma) arba pagrindimą, kodėl nurodytos procedūros netaikomos.</w:t>
            </w:r>
          </w:p>
          <w:p w14:paraId="542752E5" w14:textId="77777777" w:rsidR="00BB48CE" w:rsidRDefault="00000000">
            <w:pPr>
              <w:ind w:left="30" w:firstLine="425"/>
              <w:jc w:val="both"/>
              <w:rPr>
                <w:szCs w:val="24"/>
              </w:rPr>
            </w:pPr>
            <w:r>
              <w:rPr>
                <w:szCs w:val="24"/>
              </w:rPr>
              <w:t>2. Vadovaujantis Planų ar programų ir planuojamos ūkinės veiklos įgyvendinimo poveikio įsteigtoms ar potencialioms „Natura 2000“ teritorijoms reikšmingumo nustatymo tvarkos aprašo, patvirtinto Lietuvos Respublikos aplinkos ministro 2006 m. gegužės 22 d. įsakymu Nr. D1-255 „Dėl planų ar programų ir planuojamos ūkinės veiklos įgyvendinimo poveikio įsteigtoms ar potencialioms „Natura 2000“ teritorijoms reikšmingumo nustatymo tvarkos aprašo patvirtinimo“, nuostatomis atliktas „Natura 2000“ teritorijų reikšmingumo nustatymas (jeigu taikoma).</w:t>
            </w:r>
          </w:p>
          <w:p w14:paraId="03A3F81B" w14:textId="77777777" w:rsidR="00BB48CE" w:rsidRDefault="00BB48CE">
            <w:pPr>
              <w:jc w:val="both"/>
              <w:rPr>
                <w:rFonts w:eastAsia="Calibri"/>
                <w:szCs w:val="24"/>
              </w:rPr>
            </w:pPr>
          </w:p>
        </w:tc>
      </w:tr>
    </w:tbl>
    <w:p w14:paraId="5FB5CDAC" w14:textId="77777777" w:rsidR="00BB48CE" w:rsidRDefault="00000000">
      <w:pPr>
        <w:tabs>
          <w:tab w:val="center" w:pos="4513"/>
          <w:tab w:val="right" w:pos="9026"/>
        </w:tabs>
        <w:jc w:val="center"/>
      </w:pPr>
      <w:r>
        <w:rPr>
          <w:szCs w:val="24"/>
        </w:rPr>
        <w:lastRenderedPageBreak/>
        <w:t>__________________________</w:t>
      </w:r>
    </w:p>
    <w:p w14:paraId="5CA01D12" w14:textId="77777777" w:rsidR="00BB48CE" w:rsidRDefault="00BB48CE">
      <w:pPr>
        <w:tabs>
          <w:tab w:val="center" w:pos="4513"/>
          <w:tab w:val="right" w:pos="9026"/>
        </w:tabs>
        <w:ind w:left="4513"/>
        <w:jc w:val="both"/>
        <w:sectPr w:rsidR="00BB48CE">
          <w:pgSz w:w="11906" w:h="16838"/>
          <w:pgMar w:top="1134" w:right="567" w:bottom="1134" w:left="1701" w:header="567" w:footer="567" w:gutter="0"/>
          <w:pgNumType w:start="1"/>
          <w:cols w:space="1296"/>
          <w:titlePg/>
          <w:docGrid w:linePitch="360"/>
        </w:sectPr>
      </w:pPr>
    </w:p>
    <w:p w14:paraId="0588105D"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lastRenderedPageBreak/>
        <w:t>2022–2030 metų plėtros programos valdytojos</w:t>
      </w:r>
    </w:p>
    <w:p w14:paraId="4FE86493"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 Lietuvos Respublikos aplinkos </w:t>
      </w:r>
    </w:p>
    <w:p w14:paraId="21673C5D"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ministerijos aplinkos apsaugos ir klimato kaitos </w:t>
      </w:r>
    </w:p>
    <w:p w14:paraId="108370EA"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valdymo plėtros programos pažangos priemonės Nr. </w:t>
      </w:r>
    </w:p>
    <w:p w14:paraId="1D8F6C2B"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02-001-06-04-02 „Didinti klimato kaitos politikos </w:t>
      </w:r>
    </w:p>
    <w:p w14:paraId="22357913"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veiksmingumą“ veiklos „Investicinė parama </w:t>
      </w:r>
    </w:p>
    <w:p w14:paraId="7872A45E"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 xml:space="preserve">biometano gamybai ir (ar) biodujų </w:t>
      </w:r>
    </w:p>
    <w:p w14:paraId="61189B83" w14:textId="77777777" w:rsidR="00BB48CE" w:rsidRDefault="00000000">
      <w:pPr>
        <w:tabs>
          <w:tab w:val="center" w:pos="4513"/>
          <w:tab w:val="right" w:pos="9026"/>
        </w:tabs>
        <w:ind w:left="4513"/>
        <w:jc w:val="both"/>
        <w:rPr>
          <w:color w:val="000000"/>
          <w:shd w:val="clear" w:color="auto" w:fill="FFFFFF"/>
        </w:rPr>
      </w:pPr>
      <w:r>
        <w:rPr>
          <w:color w:val="000000"/>
          <w:shd w:val="clear" w:color="auto" w:fill="FFFFFF"/>
        </w:rPr>
        <w:t>išvalymui“ projektų finansavimo sąlygų aprašo</w:t>
      </w:r>
    </w:p>
    <w:p w14:paraId="0812EA0D" w14:textId="77777777" w:rsidR="00BB48CE" w:rsidRDefault="00000000">
      <w:pPr>
        <w:tabs>
          <w:tab w:val="center" w:pos="4513"/>
          <w:tab w:val="right" w:pos="9026"/>
        </w:tabs>
        <w:ind w:left="4513"/>
        <w:rPr>
          <w:color w:val="000000"/>
          <w:shd w:val="clear" w:color="auto" w:fill="FFFFFF"/>
        </w:rPr>
      </w:pPr>
      <w:r>
        <w:rPr>
          <w:color w:val="000000"/>
          <w:shd w:val="clear" w:color="auto" w:fill="FFFFFF"/>
        </w:rPr>
        <w:t xml:space="preserve">2 priedas </w:t>
      </w:r>
    </w:p>
    <w:p w14:paraId="58A9B90E" w14:textId="77777777" w:rsidR="00BB48CE" w:rsidRDefault="00BB48CE">
      <w:pPr>
        <w:rPr>
          <w:sz w:val="18"/>
          <w:szCs w:val="18"/>
        </w:rPr>
      </w:pPr>
    </w:p>
    <w:p w14:paraId="022D411B" w14:textId="77777777" w:rsidR="00BB48CE" w:rsidRDefault="00BB48CE">
      <w:pPr>
        <w:jc w:val="center"/>
        <w:rPr>
          <w:color w:val="000000"/>
          <w:szCs w:val="24"/>
        </w:rPr>
      </w:pPr>
    </w:p>
    <w:p w14:paraId="1D275552" w14:textId="77777777" w:rsidR="00BB48CE" w:rsidRDefault="00000000">
      <w:pPr>
        <w:jc w:val="center"/>
        <w:rPr>
          <w:color w:val="000000"/>
          <w:szCs w:val="24"/>
        </w:rPr>
      </w:pPr>
      <w:r>
        <w:rPr>
          <w:b/>
          <w:bCs/>
          <w:caps/>
          <w:color w:val="000000"/>
          <w:szCs w:val="24"/>
        </w:rPr>
        <w:t>PROJEKTŲ ATITIKTIES VALSTYBĖS PAGALBOS TAISYKLĖMS PATIKROS LAPAS</w:t>
      </w:r>
    </w:p>
    <w:p w14:paraId="0900DA3A" w14:textId="77777777" w:rsidR="00BB48CE" w:rsidRDefault="00BB48CE">
      <w:pPr>
        <w:jc w:val="center"/>
        <w:rPr>
          <w:color w:val="000000"/>
          <w:sz w:val="16"/>
          <w:szCs w:val="16"/>
        </w:rPr>
      </w:pPr>
    </w:p>
    <w:tbl>
      <w:tblPr>
        <w:tblW w:w="0" w:type="auto"/>
        <w:tblLook w:val="04A0" w:firstRow="1" w:lastRow="0" w:firstColumn="1" w:lastColumn="0" w:noHBand="0" w:noVBand="1"/>
      </w:tblPr>
      <w:tblGrid>
        <w:gridCol w:w="9482"/>
      </w:tblGrid>
      <w:tr w:rsidR="00BB48CE" w14:paraId="74EF6676" w14:textId="77777777">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0C0865E" w14:textId="77777777" w:rsidR="00BB48CE" w:rsidRDefault="00000000">
            <w:pPr>
              <w:jc w:val="both"/>
              <w:rPr>
                <w:color w:val="000000"/>
                <w:szCs w:val="24"/>
                <w:lang w:val="en-US"/>
              </w:rPr>
            </w:pPr>
            <w:r>
              <w:rPr>
                <w:b/>
                <w:bCs/>
                <w:color w:val="000000"/>
                <w:szCs w:val="24"/>
              </w:rPr>
              <w:t>I. Priemonės teisinis pagrindas</w:t>
            </w:r>
          </w:p>
        </w:tc>
      </w:tr>
      <w:tr w:rsidR="00BB48CE" w14:paraId="2C8DEC27" w14:textId="77777777">
        <w:tc>
          <w:tcPr>
            <w:tcW w:w="0" w:type="auto"/>
            <w:tcBorders>
              <w:top w:val="single" w:sz="6" w:space="0" w:color="auto"/>
              <w:left w:val="single" w:sz="6" w:space="0" w:color="auto"/>
              <w:bottom w:val="single" w:sz="6" w:space="0" w:color="auto"/>
              <w:right w:val="single" w:sz="6" w:space="0" w:color="auto"/>
            </w:tcBorders>
          </w:tcPr>
          <w:p w14:paraId="1F3AC46A" w14:textId="77777777" w:rsidR="00BB48CE" w:rsidRDefault="00000000">
            <w:pPr>
              <w:jc w:val="both"/>
              <w:rPr>
                <w:color w:val="000000"/>
                <w:szCs w:val="24"/>
              </w:rPr>
            </w:pPr>
            <w:r>
              <w:rPr>
                <w:szCs w:val="24"/>
              </w:rPr>
              <w:t xml:space="preserve">2014 m. birželio 17 d. Komisijos reglamentas </w:t>
            </w:r>
            <w:hyperlink r:id="rId51" w:tgtFrame="_blank" w:history="1">
              <w:r>
                <w:rPr>
                  <w:color w:val="0563C1" w:themeColor="hyperlink"/>
                  <w:szCs w:val="24"/>
                  <w:u w:val="single"/>
                </w:rPr>
                <w:t>(ES) Nr. 651/2014</w:t>
              </w:r>
            </w:hyperlink>
            <w:r>
              <w:rPr>
                <w:szCs w:val="24"/>
              </w:rPr>
              <w:t>, kuriuo tam tikrų kategorijų pagalba skelbiama suderinama su vidaus rinka taikant Sutarties 107 ir 108 straipsnius</w:t>
            </w:r>
            <w:r>
              <w:t xml:space="preserve">, su paskutiniais pakeitimais, padarytais 2023 m. birželio 23 d. Komisijos reglamentu </w:t>
            </w:r>
            <w:hyperlink r:id="rId52" w:tgtFrame="_blank" w:history="1">
              <w:r>
                <w:rPr>
                  <w:color w:val="0563C1" w:themeColor="hyperlink"/>
                  <w:u w:val="single"/>
                </w:rPr>
                <w:t>(ES) 2023/1315</w:t>
              </w:r>
            </w:hyperlink>
            <w:r>
              <w:t>,</w:t>
            </w:r>
            <w:r>
              <w:rPr>
                <w:szCs w:val="24"/>
              </w:rPr>
              <w:t xml:space="preserve"> </w:t>
            </w:r>
            <w:r>
              <w:rPr>
                <w:b/>
                <w:bCs/>
                <w:szCs w:val="24"/>
              </w:rPr>
              <w:t>I skyrius, III skyriaus 7 skirsnio „Pagalba aplinkos apsaugai“ 41 straipsnis „Investicinė pagalba atsinaujinančių išteklių energijos gamybai skatinti“.</w:t>
            </w:r>
          </w:p>
        </w:tc>
      </w:tr>
    </w:tbl>
    <w:p w14:paraId="5BA95F3F" w14:textId="77777777" w:rsidR="00BB48CE" w:rsidRDefault="00BB48CE">
      <w:pPr>
        <w:jc w:val="center"/>
        <w:rPr>
          <w:color w:val="000000"/>
          <w:szCs w:val="24"/>
        </w:rPr>
      </w:pPr>
    </w:p>
    <w:tbl>
      <w:tblPr>
        <w:tblW w:w="5000" w:type="pct"/>
        <w:tblLook w:val="04A0" w:firstRow="1" w:lastRow="0" w:firstColumn="1" w:lastColumn="0" w:noHBand="0" w:noVBand="1"/>
      </w:tblPr>
      <w:tblGrid>
        <w:gridCol w:w="3021"/>
        <w:gridCol w:w="6461"/>
      </w:tblGrid>
      <w:tr w:rsidR="00BB48CE" w14:paraId="2561E9FC" w14:textId="77777777">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BB7CDE1" w14:textId="77777777" w:rsidR="00BB48CE" w:rsidRDefault="00000000">
            <w:pPr>
              <w:jc w:val="both"/>
              <w:rPr>
                <w:color w:val="000000"/>
                <w:szCs w:val="24"/>
                <w:lang w:val="fr-FR"/>
              </w:rPr>
            </w:pPr>
            <w:r>
              <w:rPr>
                <w:b/>
                <w:bCs/>
                <w:color w:val="000000"/>
                <w:szCs w:val="24"/>
              </w:rPr>
              <w:t xml:space="preserve">II. Duomenys apie PĮP/projektą </w:t>
            </w:r>
          </w:p>
        </w:tc>
      </w:tr>
      <w:tr w:rsidR="00BB48CE" w14:paraId="36AAC84A" w14:textId="77777777">
        <w:trPr>
          <w:trHeight w:val="405"/>
        </w:trPr>
        <w:tc>
          <w:tcPr>
            <w:tcW w:w="1593" w:type="pct"/>
            <w:tcBorders>
              <w:top w:val="single" w:sz="6" w:space="0" w:color="auto"/>
              <w:left w:val="single" w:sz="6" w:space="0" w:color="auto"/>
              <w:bottom w:val="single" w:sz="6" w:space="0" w:color="auto"/>
              <w:right w:val="single" w:sz="6" w:space="0" w:color="auto"/>
            </w:tcBorders>
          </w:tcPr>
          <w:p w14:paraId="385A39B2" w14:textId="77777777" w:rsidR="00BB48CE" w:rsidRDefault="00000000">
            <w:pPr>
              <w:jc w:val="both"/>
              <w:rPr>
                <w:color w:val="000000"/>
                <w:szCs w:val="24"/>
                <w:lang w:val="en-US"/>
              </w:rPr>
            </w:pPr>
            <w:r>
              <w:rPr>
                <w:b/>
                <w:bCs/>
                <w:color w:val="000000"/>
                <w:szCs w:val="24"/>
              </w:rPr>
              <w:t xml:space="preserve">PĮP / projekto numeris </w:t>
            </w:r>
          </w:p>
        </w:tc>
        <w:tc>
          <w:tcPr>
            <w:tcW w:w="3407" w:type="pct"/>
            <w:tcBorders>
              <w:top w:val="single" w:sz="6" w:space="0" w:color="auto"/>
              <w:left w:val="single" w:sz="6" w:space="0" w:color="auto"/>
              <w:bottom w:val="single" w:sz="6" w:space="0" w:color="auto"/>
              <w:right w:val="single" w:sz="6" w:space="0" w:color="auto"/>
            </w:tcBorders>
          </w:tcPr>
          <w:p w14:paraId="786430A3" w14:textId="77777777" w:rsidR="00BB48CE" w:rsidRDefault="00BB48CE">
            <w:pPr>
              <w:jc w:val="both"/>
              <w:rPr>
                <w:color w:val="000000"/>
                <w:szCs w:val="24"/>
              </w:rPr>
            </w:pPr>
          </w:p>
        </w:tc>
      </w:tr>
      <w:tr w:rsidR="00BB48CE" w14:paraId="33E63767" w14:textId="77777777">
        <w:tc>
          <w:tcPr>
            <w:tcW w:w="1593" w:type="pct"/>
            <w:tcBorders>
              <w:top w:val="single" w:sz="6" w:space="0" w:color="auto"/>
              <w:left w:val="single" w:sz="6" w:space="0" w:color="auto"/>
              <w:bottom w:val="single" w:sz="6" w:space="0" w:color="auto"/>
              <w:right w:val="single" w:sz="6" w:space="0" w:color="auto"/>
            </w:tcBorders>
          </w:tcPr>
          <w:p w14:paraId="50D28816" w14:textId="77777777" w:rsidR="00BB48CE" w:rsidRDefault="00000000">
            <w:pPr>
              <w:rPr>
                <w:color w:val="000000"/>
                <w:szCs w:val="24"/>
                <w:lang w:val="en-US"/>
              </w:rPr>
            </w:pPr>
            <w:r>
              <w:rPr>
                <w:b/>
                <w:bCs/>
                <w:color w:val="000000"/>
                <w:szCs w:val="24"/>
              </w:rPr>
              <w:t xml:space="preserve">Pareiškėjo / projekto vykdytojo pavadinimas </w:t>
            </w:r>
          </w:p>
        </w:tc>
        <w:tc>
          <w:tcPr>
            <w:tcW w:w="3407" w:type="pct"/>
            <w:tcBorders>
              <w:top w:val="single" w:sz="6" w:space="0" w:color="auto"/>
              <w:left w:val="single" w:sz="6" w:space="0" w:color="auto"/>
              <w:bottom w:val="single" w:sz="6" w:space="0" w:color="auto"/>
              <w:right w:val="single" w:sz="6" w:space="0" w:color="auto"/>
            </w:tcBorders>
          </w:tcPr>
          <w:p w14:paraId="37BB9F97" w14:textId="77777777" w:rsidR="00BB48CE" w:rsidRDefault="00BB48CE">
            <w:pPr>
              <w:jc w:val="both"/>
              <w:rPr>
                <w:color w:val="000000"/>
                <w:szCs w:val="24"/>
              </w:rPr>
            </w:pPr>
          </w:p>
        </w:tc>
      </w:tr>
      <w:tr w:rsidR="00BB48CE" w14:paraId="568B2F0B" w14:textId="77777777">
        <w:tc>
          <w:tcPr>
            <w:tcW w:w="1593" w:type="pct"/>
            <w:tcBorders>
              <w:top w:val="single" w:sz="6" w:space="0" w:color="auto"/>
              <w:left w:val="single" w:sz="6" w:space="0" w:color="auto"/>
              <w:bottom w:val="single" w:sz="6" w:space="0" w:color="auto"/>
              <w:right w:val="single" w:sz="6" w:space="0" w:color="auto"/>
            </w:tcBorders>
          </w:tcPr>
          <w:p w14:paraId="21E83234" w14:textId="77777777" w:rsidR="00BB48CE" w:rsidRDefault="00000000">
            <w:pPr>
              <w:jc w:val="both"/>
              <w:rPr>
                <w:color w:val="000000"/>
                <w:szCs w:val="24"/>
                <w:lang w:val="en-US"/>
              </w:rPr>
            </w:pPr>
            <w:r>
              <w:rPr>
                <w:b/>
                <w:bCs/>
                <w:color w:val="000000"/>
                <w:szCs w:val="24"/>
              </w:rPr>
              <w:t xml:space="preserve">Projekto pavadinimas </w:t>
            </w:r>
          </w:p>
        </w:tc>
        <w:tc>
          <w:tcPr>
            <w:tcW w:w="3407" w:type="pct"/>
            <w:tcBorders>
              <w:top w:val="single" w:sz="6" w:space="0" w:color="auto"/>
              <w:left w:val="single" w:sz="6" w:space="0" w:color="auto"/>
              <w:bottom w:val="single" w:sz="6" w:space="0" w:color="auto"/>
              <w:right w:val="single" w:sz="6" w:space="0" w:color="auto"/>
            </w:tcBorders>
          </w:tcPr>
          <w:p w14:paraId="63DAA8D0" w14:textId="77777777" w:rsidR="00BB48CE" w:rsidRDefault="00BB48CE">
            <w:pPr>
              <w:jc w:val="both"/>
              <w:rPr>
                <w:color w:val="000000"/>
                <w:szCs w:val="24"/>
              </w:rPr>
            </w:pPr>
          </w:p>
        </w:tc>
      </w:tr>
    </w:tbl>
    <w:p w14:paraId="3498A006" w14:textId="77777777" w:rsidR="00BB48CE" w:rsidRDefault="00BB48CE">
      <w:pPr>
        <w:rPr>
          <w:color w:val="000000"/>
          <w:szCs w:val="24"/>
        </w:rPr>
      </w:pPr>
    </w:p>
    <w:tbl>
      <w:tblPr>
        <w:tblW w:w="5000" w:type="pct"/>
        <w:tblLayout w:type="fixed"/>
        <w:tblLook w:val="04A0" w:firstRow="1" w:lastRow="0" w:firstColumn="1" w:lastColumn="0" w:noHBand="0" w:noVBand="1"/>
      </w:tblPr>
      <w:tblGrid>
        <w:gridCol w:w="549"/>
        <w:gridCol w:w="4572"/>
        <w:gridCol w:w="965"/>
        <w:gridCol w:w="889"/>
        <w:gridCol w:w="838"/>
        <w:gridCol w:w="1669"/>
      </w:tblGrid>
      <w:tr w:rsidR="00BB48CE" w14:paraId="521AA1A7" w14:textId="77777777">
        <w:tc>
          <w:tcPr>
            <w:tcW w:w="5000" w:type="pct"/>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E3FD6A7" w14:textId="77777777" w:rsidR="00BB48CE" w:rsidRDefault="00000000">
            <w:pPr>
              <w:jc w:val="both"/>
              <w:rPr>
                <w:color w:val="000000"/>
                <w:szCs w:val="24"/>
              </w:rPr>
            </w:pPr>
            <w:r>
              <w:rPr>
                <w:b/>
                <w:bCs/>
                <w:color w:val="000000"/>
                <w:szCs w:val="24"/>
              </w:rPr>
              <w:t xml:space="preserve">III. Projekto patikra dėl atitikties Reglamento </w:t>
            </w:r>
            <w:hyperlink r:id="rId53" w:tgtFrame="_blank" w:history="1">
              <w:r>
                <w:rPr>
                  <w:b/>
                  <w:bCs/>
                  <w:color w:val="0563C1" w:themeColor="hyperlink"/>
                  <w:szCs w:val="24"/>
                  <w:u w:val="single"/>
                </w:rPr>
                <w:t>(ES) Nr. 651/2014</w:t>
              </w:r>
            </w:hyperlink>
            <w:r>
              <w:rPr>
                <w:b/>
                <w:bCs/>
              </w:rPr>
              <w:t xml:space="preserve"> </w:t>
            </w:r>
            <w:r>
              <w:rPr>
                <w:b/>
                <w:bCs/>
                <w:color w:val="000000"/>
                <w:szCs w:val="24"/>
              </w:rPr>
              <w:t xml:space="preserve">I skyriaus bendriesiems ir Reglamento </w:t>
            </w:r>
            <w:hyperlink r:id="rId54" w:tgtFrame="_blank" w:history="1">
              <w:r>
                <w:rPr>
                  <w:b/>
                  <w:bCs/>
                  <w:color w:val="0563C1" w:themeColor="hyperlink"/>
                  <w:szCs w:val="24"/>
                  <w:u w:val="single"/>
                </w:rPr>
                <w:t>(ES) Nr. 651/2014</w:t>
              </w:r>
            </w:hyperlink>
            <w:r>
              <w:rPr>
                <w:b/>
                <w:bCs/>
              </w:rPr>
              <w:t xml:space="preserve"> </w:t>
            </w:r>
            <w:r>
              <w:rPr>
                <w:b/>
                <w:bCs/>
                <w:color w:val="000000"/>
                <w:szCs w:val="24"/>
              </w:rPr>
              <w:t>III skyriaus 7 skirsnio „Pagalba aplinkos apsaugai“ 41 straipsnio „Investicinė pagalba atsinaujinančių išteklių energijos gamybai skatinti“ reikalavimams</w:t>
            </w:r>
          </w:p>
        </w:tc>
      </w:tr>
      <w:tr w:rsidR="00BB48CE" w14:paraId="0B8B256E" w14:textId="77777777">
        <w:tc>
          <w:tcPr>
            <w:tcW w:w="289" w:type="pct"/>
            <w:tcBorders>
              <w:top w:val="single" w:sz="6" w:space="0" w:color="auto"/>
              <w:left w:val="single" w:sz="6" w:space="0" w:color="auto"/>
              <w:bottom w:val="single" w:sz="6" w:space="0" w:color="auto"/>
              <w:right w:val="single" w:sz="6" w:space="0" w:color="auto"/>
            </w:tcBorders>
          </w:tcPr>
          <w:p w14:paraId="62B86D77" w14:textId="77777777" w:rsidR="00BB48CE" w:rsidRDefault="00000000">
            <w:pPr>
              <w:ind w:right="-465"/>
              <w:rPr>
                <w:color w:val="000000"/>
                <w:szCs w:val="24"/>
                <w:lang w:val="en-US"/>
              </w:rPr>
            </w:pPr>
            <w:r>
              <w:rPr>
                <w:b/>
                <w:bCs/>
                <w:color w:val="000000"/>
                <w:szCs w:val="24"/>
              </w:rPr>
              <w:t xml:space="preserve">Nr. </w:t>
            </w:r>
          </w:p>
        </w:tc>
        <w:tc>
          <w:tcPr>
            <w:tcW w:w="2920" w:type="pct"/>
            <w:gridSpan w:val="2"/>
            <w:tcBorders>
              <w:top w:val="single" w:sz="6" w:space="0" w:color="auto"/>
              <w:left w:val="single" w:sz="6" w:space="0" w:color="auto"/>
              <w:bottom w:val="single" w:sz="6" w:space="0" w:color="auto"/>
              <w:right w:val="single" w:sz="6" w:space="0" w:color="auto"/>
            </w:tcBorders>
          </w:tcPr>
          <w:p w14:paraId="584C5A5A" w14:textId="77777777" w:rsidR="00BB48CE" w:rsidRDefault="00000000">
            <w:pPr>
              <w:jc w:val="both"/>
              <w:rPr>
                <w:color w:val="000000"/>
                <w:szCs w:val="24"/>
                <w:lang w:val="en-US"/>
              </w:rPr>
            </w:pPr>
            <w:r>
              <w:rPr>
                <w:b/>
                <w:bCs/>
                <w:color w:val="000000"/>
                <w:szCs w:val="24"/>
              </w:rPr>
              <w:t xml:space="preserve">Klausimai </w:t>
            </w:r>
          </w:p>
        </w:tc>
        <w:tc>
          <w:tcPr>
            <w:tcW w:w="911" w:type="pct"/>
            <w:gridSpan w:val="2"/>
            <w:tcBorders>
              <w:top w:val="single" w:sz="6" w:space="0" w:color="auto"/>
              <w:left w:val="single" w:sz="6" w:space="0" w:color="auto"/>
              <w:bottom w:val="single" w:sz="6" w:space="0" w:color="auto"/>
              <w:right w:val="single" w:sz="6" w:space="0" w:color="auto"/>
            </w:tcBorders>
          </w:tcPr>
          <w:p w14:paraId="04330CA9" w14:textId="77777777" w:rsidR="00BB48CE" w:rsidRDefault="00000000">
            <w:pPr>
              <w:jc w:val="both"/>
              <w:rPr>
                <w:color w:val="000000"/>
                <w:szCs w:val="24"/>
                <w:lang w:val="en-US"/>
              </w:rPr>
            </w:pPr>
            <w:r>
              <w:rPr>
                <w:b/>
                <w:bCs/>
                <w:color w:val="000000"/>
                <w:szCs w:val="24"/>
              </w:rPr>
              <w:t xml:space="preserve">Rezultatas </w:t>
            </w:r>
          </w:p>
        </w:tc>
        <w:tc>
          <w:tcPr>
            <w:tcW w:w="879" w:type="pct"/>
            <w:tcBorders>
              <w:top w:val="single" w:sz="6" w:space="0" w:color="auto"/>
              <w:left w:val="single" w:sz="6" w:space="0" w:color="auto"/>
              <w:bottom w:val="single" w:sz="6" w:space="0" w:color="auto"/>
              <w:right w:val="single" w:sz="6" w:space="0" w:color="auto"/>
            </w:tcBorders>
          </w:tcPr>
          <w:p w14:paraId="35795A54" w14:textId="77777777" w:rsidR="00BB48CE" w:rsidRDefault="00000000">
            <w:pPr>
              <w:jc w:val="both"/>
              <w:rPr>
                <w:b/>
                <w:bCs/>
                <w:color w:val="000000"/>
                <w:szCs w:val="24"/>
                <w:lang w:val="en-US"/>
              </w:rPr>
            </w:pPr>
            <w:r>
              <w:rPr>
                <w:b/>
                <w:bCs/>
                <w:color w:val="000000"/>
                <w:szCs w:val="24"/>
              </w:rPr>
              <w:t>Pastabos:</w:t>
            </w:r>
          </w:p>
        </w:tc>
      </w:tr>
      <w:tr w:rsidR="00BB48CE" w14:paraId="309BAAD7" w14:textId="77777777">
        <w:trPr>
          <w:trHeight w:val="304"/>
        </w:trPr>
        <w:tc>
          <w:tcPr>
            <w:tcW w:w="5000" w:type="pct"/>
            <w:gridSpan w:val="6"/>
            <w:tcBorders>
              <w:top w:val="single" w:sz="6" w:space="0" w:color="auto"/>
              <w:left w:val="single" w:sz="6" w:space="0" w:color="auto"/>
              <w:bottom w:val="single" w:sz="6" w:space="0" w:color="auto"/>
              <w:right w:val="single" w:sz="6" w:space="0" w:color="auto"/>
            </w:tcBorders>
          </w:tcPr>
          <w:p w14:paraId="7427A96D" w14:textId="77777777" w:rsidR="00BB48CE" w:rsidRDefault="00000000">
            <w:pPr>
              <w:jc w:val="both"/>
              <w:rPr>
                <w:color w:val="000000"/>
                <w:szCs w:val="24"/>
                <w:lang w:val="en-US"/>
              </w:rPr>
            </w:pPr>
            <w:r>
              <w:rPr>
                <w:b/>
                <w:bCs/>
                <w:color w:val="000000"/>
                <w:szCs w:val="24"/>
              </w:rPr>
              <w:t>Bendrieji reikalavimai</w:t>
            </w:r>
          </w:p>
        </w:tc>
      </w:tr>
      <w:tr w:rsidR="00BB48CE" w14:paraId="03D87B42" w14:textId="77777777">
        <w:tc>
          <w:tcPr>
            <w:tcW w:w="289" w:type="pct"/>
            <w:tcBorders>
              <w:top w:val="single" w:sz="6" w:space="0" w:color="auto"/>
              <w:left w:val="single" w:sz="6" w:space="0" w:color="auto"/>
              <w:bottom w:val="single" w:sz="6" w:space="0" w:color="auto"/>
              <w:right w:val="single" w:sz="6" w:space="0" w:color="auto"/>
            </w:tcBorders>
          </w:tcPr>
          <w:p w14:paraId="5EF5D7D7" w14:textId="77777777" w:rsidR="00BB48CE" w:rsidRDefault="00000000">
            <w:pPr>
              <w:ind w:left="786" w:right="-465" w:hanging="786"/>
              <w:rPr>
                <w:color w:val="000000"/>
                <w:szCs w:val="24"/>
              </w:rPr>
            </w:pPr>
            <w:r>
              <w:rPr>
                <w:color w:val="000000"/>
                <w:szCs w:val="24"/>
              </w:rPr>
              <w:t>1.</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186635DD" w14:textId="77777777" w:rsidR="00BB48CE" w:rsidRDefault="00000000">
            <w:pPr>
              <w:jc w:val="both"/>
              <w:rPr>
                <w:szCs w:val="24"/>
              </w:rPr>
            </w:pPr>
            <w:r>
              <w:rPr>
                <w:szCs w:val="24"/>
              </w:rPr>
              <w:t xml:space="preserve">Ar pagalba nėra teikiama su eksportu susijusiai veiklai trečiosiose šalyse arba valstybėse narėse, t. y. pagalbai, tiesiogiai susijusiai su eksportuojamais kiekiais, platinimo tinklo kūrimu bei veikla arba su kitomis einamosiomis išlaidomis, susijusiomis su eksporto veikla? (Reglamento </w:t>
            </w:r>
            <w:hyperlink r:id="rId55" w:tgtFrame="_blank" w:history="1">
              <w:r>
                <w:rPr>
                  <w:color w:val="0563C1" w:themeColor="hyperlink"/>
                  <w:szCs w:val="24"/>
                  <w:u w:val="single"/>
                </w:rPr>
                <w:t>(ES) Nr. 651/2014</w:t>
              </w:r>
            </w:hyperlink>
            <w:r>
              <w:t xml:space="preserve"> </w:t>
            </w:r>
            <w:r>
              <w:rPr>
                <w:szCs w:val="24"/>
              </w:rPr>
              <w:t>1 straipsnio 2 dalies c punktas)</w:t>
            </w:r>
          </w:p>
        </w:tc>
        <w:tc>
          <w:tcPr>
            <w:tcW w:w="469" w:type="pct"/>
            <w:tcBorders>
              <w:top w:val="single" w:sz="6" w:space="0" w:color="auto"/>
              <w:left w:val="single" w:sz="6" w:space="0" w:color="auto"/>
              <w:bottom w:val="single" w:sz="6" w:space="0" w:color="auto"/>
              <w:right w:val="single" w:sz="6" w:space="0" w:color="auto"/>
            </w:tcBorders>
          </w:tcPr>
          <w:p w14:paraId="242D2233"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7285B9DE"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0F387476" w14:textId="77777777" w:rsidR="00BB48CE" w:rsidRDefault="00BB48CE">
            <w:pPr>
              <w:jc w:val="both"/>
              <w:rPr>
                <w:szCs w:val="24"/>
              </w:rPr>
            </w:pPr>
          </w:p>
        </w:tc>
      </w:tr>
      <w:tr w:rsidR="00BB48CE" w14:paraId="3CD88FFB" w14:textId="77777777">
        <w:tc>
          <w:tcPr>
            <w:tcW w:w="289" w:type="pct"/>
            <w:tcBorders>
              <w:top w:val="single" w:sz="6" w:space="0" w:color="auto"/>
              <w:left w:val="single" w:sz="6" w:space="0" w:color="auto"/>
              <w:bottom w:val="single" w:sz="6" w:space="0" w:color="auto"/>
              <w:right w:val="single" w:sz="6" w:space="0" w:color="auto"/>
            </w:tcBorders>
          </w:tcPr>
          <w:p w14:paraId="22FD42C8" w14:textId="77777777" w:rsidR="00BB48CE" w:rsidRDefault="00000000">
            <w:pPr>
              <w:ind w:left="786" w:right="-465" w:hanging="786"/>
              <w:rPr>
                <w:color w:val="000000"/>
                <w:szCs w:val="24"/>
              </w:rPr>
            </w:pPr>
            <w:r>
              <w:rPr>
                <w:color w:val="000000"/>
                <w:szCs w:val="24"/>
              </w:rPr>
              <w:t>2.</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68F7C826" w14:textId="77777777" w:rsidR="00BB48CE" w:rsidRDefault="00000000">
            <w:pPr>
              <w:jc w:val="both"/>
              <w:rPr>
                <w:color w:val="000000"/>
                <w:szCs w:val="24"/>
              </w:rPr>
            </w:pPr>
            <w:r>
              <w:rPr>
                <w:color w:val="000000"/>
                <w:szCs w:val="24"/>
              </w:rPr>
              <w:t xml:space="preserve">Ar suteikta pagalba nėra remiamas </w:t>
            </w:r>
            <w:r>
              <w:rPr>
                <w:b/>
                <w:bCs/>
                <w:color w:val="000000"/>
                <w:szCs w:val="24"/>
              </w:rPr>
              <w:t>vietinių prekių naudojimas</w:t>
            </w:r>
            <w:r>
              <w:rPr>
                <w:color w:val="000000"/>
                <w:szCs w:val="24"/>
              </w:rPr>
              <w:t xml:space="preserve"> vietoj importuojamų prekių? (Reglamento </w:t>
            </w:r>
            <w:hyperlink r:id="rId56" w:tgtFrame="_blank" w:history="1">
              <w:r>
                <w:rPr>
                  <w:color w:val="0563C1" w:themeColor="hyperlink"/>
                  <w:szCs w:val="24"/>
                  <w:u w:val="single"/>
                </w:rPr>
                <w:t>(ES) Nr. 651/2014</w:t>
              </w:r>
            </w:hyperlink>
            <w:r>
              <w:t xml:space="preserve"> </w:t>
            </w:r>
            <w:r>
              <w:rPr>
                <w:color w:val="000000"/>
                <w:szCs w:val="24"/>
              </w:rPr>
              <w:t>1 straipsnio 2 dalies d punktas)</w:t>
            </w:r>
          </w:p>
        </w:tc>
        <w:tc>
          <w:tcPr>
            <w:tcW w:w="469" w:type="pct"/>
            <w:tcBorders>
              <w:top w:val="single" w:sz="6" w:space="0" w:color="auto"/>
              <w:left w:val="single" w:sz="6" w:space="0" w:color="auto"/>
              <w:bottom w:val="single" w:sz="6" w:space="0" w:color="auto"/>
              <w:right w:val="single" w:sz="6" w:space="0" w:color="auto"/>
            </w:tcBorders>
          </w:tcPr>
          <w:p w14:paraId="04C63D50"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42AE1EE"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3C2A4652" w14:textId="77777777" w:rsidR="00BB48CE" w:rsidRDefault="00BB48CE">
            <w:pPr>
              <w:jc w:val="both"/>
              <w:rPr>
                <w:szCs w:val="24"/>
              </w:rPr>
            </w:pPr>
          </w:p>
        </w:tc>
      </w:tr>
      <w:tr w:rsidR="00BB48CE" w14:paraId="7428A4A5" w14:textId="77777777">
        <w:tc>
          <w:tcPr>
            <w:tcW w:w="289" w:type="pct"/>
            <w:tcBorders>
              <w:top w:val="single" w:sz="6" w:space="0" w:color="auto"/>
              <w:left w:val="single" w:sz="6" w:space="0" w:color="auto"/>
              <w:bottom w:val="single" w:sz="6" w:space="0" w:color="auto"/>
              <w:right w:val="single" w:sz="6" w:space="0" w:color="auto"/>
            </w:tcBorders>
          </w:tcPr>
          <w:p w14:paraId="5B186201" w14:textId="77777777" w:rsidR="00BB48CE" w:rsidRDefault="00000000">
            <w:pPr>
              <w:ind w:left="786" w:right="-465" w:hanging="786"/>
              <w:rPr>
                <w:color w:val="000000"/>
                <w:szCs w:val="24"/>
              </w:rPr>
            </w:pPr>
            <w:r>
              <w:rPr>
                <w:color w:val="000000"/>
                <w:szCs w:val="24"/>
              </w:rPr>
              <w:t>3.</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5174A7B0" w14:textId="77777777" w:rsidR="00BB48CE" w:rsidRDefault="00000000">
            <w:pPr>
              <w:jc w:val="both"/>
              <w:rPr>
                <w:szCs w:val="24"/>
              </w:rPr>
            </w:pPr>
            <w:r>
              <w:rPr>
                <w:szCs w:val="24"/>
              </w:rPr>
              <w:t xml:space="preserve">Ar pagalba nėra teikiama žuvininkystės ir akvakultūros sektoriui, kuriam taikomas 2013 m. gruodžio 11 d. Europos Parlamento ir Tarybos reglamentas </w:t>
            </w:r>
            <w:hyperlink r:id="rId57" w:tgtFrame="_blank" w:history="1">
              <w:r>
                <w:rPr>
                  <w:color w:val="0563C1" w:themeColor="hyperlink"/>
                  <w:szCs w:val="24"/>
                  <w:u w:val="single"/>
                </w:rPr>
                <w:t>(ES) Nr. 1379/2013</w:t>
              </w:r>
            </w:hyperlink>
            <w:r>
              <w:rPr>
                <w:szCs w:val="24"/>
              </w:rPr>
              <w:t xml:space="preserve"> dėl bendro žvejybos ir akvakultūros produktų rinkų organizavimo, kuriuo iš dalies keičiami Tarybos reglamentai </w:t>
            </w:r>
            <w:hyperlink r:id="rId58" w:tgtFrame="_blank" w:history="1">
              <w:r>
                <w:rPr>
                  <w:color w:val="0563C1" w:themeColor="hyperlink"/>
                  <w:szCs w:val="24"/>
                  <w:u w:val="single"/>
                </w:rPr>
                <w:t>(EB) Nr. 1184/2006</w:t>
              </w:r>
            </w:hyperlink>
            <w:r>
              <w:rPr>
                <w:szCs w:val="24"/>
              </w:rPr>
              <w:t xml:space="preserve"> ir </w:t>
            </w:r>
            <w:hyperlink r:id="rId59" w:tgtFrame="_blank" w:history="1">
              <w:r>
                <w:rPr>
                  <w:color w:val="0563C1" w:themeColor="hyperlink"/>
                  <w:szCs w:val="24"/>
                  <w:u w:val="single"/>
                </w:rPr>
                <w:t>(EB) Nr. 1224/2009</w:t>
              </w:r>
            </w:hyperlink>
            <w:r>
              <w:rPr>
                <w:szCs w:val="24"/>
              </w:rPr>
              <w:t xml:space="preserve"> ir panaikinamas Tarybos reglamentas </w:t>
            </w:r>
            <w:hyperlink r:id="rId60" w:tgtFrame="_blank" w:history="1">
              <w:r>
                <w:rPr>
                  <w:color w:val="0563C1" w:themeColor="hyperlink"/>
                  <w:szCs w:val="24"/>
                  <w:u w:val="single"/>
                </w:rPr>
                <w:t>(EB) Nr. 104/2000</w:t>
              </w:r>
            </w:hyperlink>
            <w:r>
              <w:rPr>
                <w:szCs w:val="24"/>
              </w:rPr>
              <w:t xml:space="preserve">, išskyrus pagalbą mokymui, pagalbą mažoms ir vidutinėms įmonėms gauti finansavimą, pagalbą mokslinių tyrimų ir technologinės plėtros srityje, inovacijų pagalbą MVĮ, pagalbą nepalankias </w:t>
            </w:r>
            <w:r>
              <w:rPr>
                <w:szCs w:val="24"/>
              </w:rPr>
              <w:lastRenderedPageBreak/>
              <w:t xml:space="preserve">sąlygas darbo rinkoje turintiems asmenims ir neįgaliesiems darbuotojams, regioninę investicinę pagalbą atokiausiuose regionuose ir regioninės veiklos pagalbos schemas? (Reglamento </w:t>
            </w:r>
            <w:hyperlink r:id="rId61" w:tgtFrame="_blank" w:history="1">
              <w:r>
                <w:rPr>
                  <w:color w:val="0563C1" w:themeColor="hyperlink"/>
                  <w:szCs w:val="24"/>
                  <w:u w:val="single"/>
                </w:rPr>
                <w:t>(ES) Nr. 651/2014</w:t>
              </w:r>
            </w:hyperlink>
            <w:r>
              <w:t xml:space="preserve"> </w:t>
            </w:r>
            <w:r>
              <w:rPr>
                <w:szCs w:val="24"/>
              </w:rPr>
              <w:t>1 straipsnio 3 dalies a punktas)</w:t>
            </w:r>
          </w:p>
        </w:tc>
        <w:tc>
          <w:tcPr>
            <w:tcW w:w="469" w:type="pct"/>
            <w:tcBorders>
              <w:top w:val="single" w:sz="6" w:space="0" w:color="auto"/>
              <w:left w:val="single" w:sz="6" w:space="0" w:color="auto"/>
              <w:bottom w:val="single" w:sz="6" w:space="0" w:color="auto"/>
              <w:right w:val="single" w:sz="6" w:space="0" w:color="auto"/>
            </w:tcBorders>
          </w:tcPr>
          <w:p w14:paraId="0351F74A" w14:textId="77777777" w:rsidR="00BB48CE" w:rsidRDefault="00000000">
            <w:pPr>
              <w:rPr>
                <w:szCs w:val="24"/>
              </w:rPr>
            </w:pPr>
            <w:r>
              <w:rPr>
                <w:szCs w:val="24"/>
              </w:rPr>
              <w:lastRenderedPageBreak/>
              <w:t>□ Taip</w:t>
            </w:r>
          </w:p>
        </w:tc>
        <w:tc>
          <w:tcPr>
            <w:tcW w:w="442" w:type="pct"/>
            <w:tcBorders>
              <w:top w:val="single" w:sz="6" w:space="0" w:color="auto"/>
              <w:left w:val="single" w:sz="6" w:space="0" w:color="auto"/>
              <w:bottom w:val="single" w:sz="6" w:space="0" w:color="auto"/>
              <w:right w:val="single" w:sz="6" w:space="0" w:color="auto"/>
            </w:tcBorders>
          </w:tcPr>
          <w:p w14:paraId="7A887805"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6071431D" w14:textId="77777777" w:rsidR="00BB48CE" w:rsidRDefault="00BB48CE">
            <w:pPr>
              <w:jc w:val="both"/>
              <w:rPr>
                <w:szCs w:val="24"/>
              </w:rPr>
            </w:pPr>
          </w:p>
        </w:tc>
      </w:tr>
      <w:tr w:rsidR="00BB48CE" w14:paraId="61095994" w14:textId="77777777">
        <w:tc>
          <w:tcPr>
            <w:tcW w:w="289" w:type="pct"/>
            <w:tcBorders>
              <w:top w:val="single" w:sz="6" w:space="0" w:color="auto"/>
              <w:left w:val="single" w:sz="6" w:space="0" w:color="auto"/>
              <w:bottom w:val="single" w:sz="6" w:space="0" w:color="auto"/>
              <w:right w:val="single" w:sz="6" w:space="0" w:color="auto"/>
            </w:tcBorders>
          </w:tcPr>
          <w:p w14:paraId="56414A79" w14:textId="77777777" w:rsidR="00BB48CE" w:rsidRDefault="00000000">
            <w:pPr>
              <w:ind w:left="786" w:right="-465" w:hanging="786"/>
              <w:rPr>
                <w:color w:val="000000"/>
                <w:szCs w:val="24"/>
              </w:rPr>
            </w:pPr>
            <w:r>
              <w:rPr>
                <w:color w:val="000000"/>
                <w:szCs w:val="24"/>
              </w:rPr>
              <w:t>4.</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21D2D99A" w14:textId="77777777" w:rsidR="00BB48CE" w:rsidRDefault="00000000">
            <w:pPr>
              <w:jc w:val="both"/>
              <w:rPr>
                <w:color w:val="000000"/>
                <w:szCs w:val="24"/>
              </w:rPr>
            </w:pPr>
            <w:r>
              <w:rPr>
                <w:color w:val="000000"/>
                <w:szCs w:val="24"/>
              </w:rPr>
              <w:t xml:space="preserve">Ar pagalba nėra teikiama </w:t>
            </w:r>
            <w:r>
              <w:rPr>
                <w:b/>
                <w:bCs/>
                <w:color w:val="000000"/>
                <w:szCs w:val="24"/>
              </w:rPr>
              <w:t>pirminės žemės ūkio pr</w:t>
            </w:r>
            <w:r>
              <w:rPr>
                <w:b/>
                <w:bCs/>
                <w:szCs w:val="24"/>
              </w:rPr>
              <w:t>oduk</w:t>
            </w:r>
            <w:r>
              <w:rPr>
                <w:b/>
                <w:bCs/>
                <w:color w:val="000000"/>
                <w:szCs w:val="24"/>
              </w:rPr>
              <w:t>tų</w:t>
            </w:r>
            <w:r>
              <w:rPr>
                <w:color w:val="000000"/>
                <w:szCs w:val="24"/>
                <w:vertAlign w:val="superscript"/>
              </w:rPr>
              <w:t>i</w:t>
            </w:r>
            <w:r>
              <w:rPr>
                <w:b/>
                <w:bCs/>
                <w:color w:val="000000"/>
                <w:szCs w:val="24"/>
              </w:rPr>
              <w:t xml:space="preserve"> gamybos sek</w:t>
            </w:r>
            <w:r>
              <w:rPr>
                <w:b/>
                <w:bCs/>
                <w:szCs w:val="24"/>
              </w:rPr>
              <w:t>toriu</w:t>
            </w:r>
            <w:r>
              <w:rPr>
                <w:b/>
                <w:bCs/>
                <w:color w:val="000000"/>
                <w:szCs w:val="24"/>
              </w:rPr>
              <w:t>je</w:t>
            </w:r>
            <w:r>
              <w:rPr>
                <w:color w:val="000000"/>
                <w:szCs w:val="24"/>
                <w:vertAlign w:val="superscript"/>
              </w:rPr>
              <w:t>ii</w:t>
            </w:r>
            <w:r>
              <w:rPr>
                <w:color w:val="000000"/>
                <w:szCs w:val="24"/>
              </w:rPr>
              <w:t>,</w:t>
            </w:r>
            <w:r>
              <w:rPr>
                <w:b/>
                <w:bCs/>
                <w:color w:val="000000"/>
                <w:szCs w:val="24"/>
              </w:rPr>
              <w:t xml:space="preserve"> </w:t>
            </w:r>
            <w:r>
              <w:rPr>
                <w:szCs w:val="24"/>
              </w:rPr>
              <w:t>išskyrus regioninę investicinę pagalbą atokiausiuose regionuose, regioninės veiklos pagalbos schemas, MVĮ teikiamą pagalbą konsultavimui, rizikos finansų pagalbą, pagalbą moksliniams tyrimams ir technologinei plėtrai, inovacijų pagalbą MVĮ, pagalbą aplinkos apsaugai, pagalbą mokymui bei pagalbą nepalankias sąlygas darbo rinkoje turintiems asmenims ir neįgaliesiems darbuotojams</w:t>
            </w:r>
            <w:r>
              <w:rPr>
                <w:color w:val="000000"/>
                <w:szCs w:val="24"/>
              </w:rPr>
              <w:t xml:space="preserve">? (Reglamento </w:t>
            </w:r>
            <w:hyperlink r:id="rId62" w:tgtFrame="_blank" w:history="1">
              <w:r>
                <w:rPr>
                  <w:color w:val="0563C1" w:themeColor="hyperlink"/>
                  <w:szCs w:val="24"/>
                  <w:u w:val="single"/>
                </w:rPr>
                <w:t>(ES) Nr. 651/2014</w:t>
              </w:r>
            </w:hyperlink>
            <w:r>
              <w:t xml:space="preserve"> </w:t>
            </w:r>
            <w:r>
              <w:rPr>
                <w:color w:val="000000"/>
                <w:szCs w:val="24"/>
              </w:rPr>
              <w:t>1 straipsnio 3 dalies b punktas)</w:t>
            </w:r>
          </w:p>
        </w:tc>
        <w:tc>
          <w:tcPr>
            <w:tcW w:w="469" w:type="pct"/>
            <w:tcBorders>
              <w:top w:val="single" w:sz="6" w:space="0" w:color="auto"/>
              <w:left w:val="single" w:sz="6" w:space="0" w:color="auto"/>
              <w:bottom w:val="single" w:sz="6" w:space="0" w:color="auto"/>
              <w:right w:val="single" w:sz="6" w:space="0" w:color="auto"/>
            </w:tcBorders>
          </w:tcPr>
          <w:p w14:paraId="30F2B406"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69F1242B"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6305653A" w14:textId="77777777" w:rsidR="00BB48CE" w:rsidRDefault="00BB48CE">
            <w:pPr>
              <w:jc w:val="both"/>
              <w:rPr>
                <w:szCs w:val="24"/>
              </w:rPr>
            </w:pPr>
          </w:p>
        </w:tc>
      </w:tr>
      <w:tr w:rsidR="00BB48CE" w14:paraId="568D6F2A" w14:textId="77777777">
        <w:tc>
          <w:tcPr>
            <w:tcW w:w="289" w:type="pct"/>
            <w:tcBorders>
              <w:top w:val="single" w:sz="6" w:space="0" w:color="auto"/>
              <w:left w:val="single" w:sz="6" w:space="0" w:color="auto"/>
              <w:bottom w:val="single" w:sz="6" w:space="0" w:color="auto"/>
              <w:right w:val="single" w:sz="6" w:space="0" w:color="auto"/>
            </w:tcBorders>
          </w:tcPr>
          <w:p w14:paraId="3EBE781B" w14:textId="77777777" w:rsidR="00BB48CE" w:rsidRDefault="00000000">
            <w:pPr>
              <w:ind w:left="786" w:right="-465" w:hanging="786"/>
              <w:rPr>
                <w:color w:val="000000"/>
                <w:szCs w:val="24"/>
              </w:rPr>
            </w:pPr>
            <w:r>
              <w:rPr>
                <w:color w:val="000000"/>
                <w:szCs w:val="24"/>
              </w:rPr>
              <w:t>5.</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2C126885" w14:textId="77777777" w:rsidR="00BB48CE" w:rsidRDefault="00000000">
            <w:pPr>
              <w:jc w:val="both"/>
              <w:rPr>
                <w:szCs w:val="24"/>
              </w:rPr>
            </w:pPr>
            <w:r>
              <w:rPr>
                <w:szCs w:val="24"/>
              </w:rPr>
              <w:t>Ar pagalba nėra teikiama žemės ūkio produktų perdirbimo</w:t>
            </w:r>
            <w:r>
              <w:rPr>
                <w:szCs w:val="24"/>
                <w:vertAlign w:val="superscript"/>
              </w:rPr>
              <w:t>iii</w:t>
            </w:r>
            <w:r>
              <w:rPr>
                <w:szCs w:val="24"/>
              </w:rPr>
              <w:t xml:space="preserve"> ir prekybos jais sektoriuje šiais atvejais: kai pagalbos suma nustatoma pagal iš pirminės produkcijos gamintojų įsigytų arba atitinkamų įmonių rinkai pateiktų tokių produktų kainą arba kiekį; kai pagalba priklauso nuo to, ar ji bus iš dalies arba visa perduota pirminės produkcijos gamintojams? (Reglamento </w:t>
            </w:r>
            <w:hyperlink r:id="rId63" w:tgtFrame="_blank" w:history="1">
              <w:r>
                <w:rPr>
                  <w:color w:val="0563C1" w:themeColor="hyperlink"/>
                  <w:szCs w:val="24"/>
                  <w:u w:val="single"/>
                </w:rPr>
                <w:t>(ES) Nr. 651/2014</w:t>
              </w:r>
            </w:hyperlink>
            <w:r>
              <w:t xml:space="preserve"> </w:t>
            </w:r>
            <w:r>
              <w:rPr>
                <w:szCs w:val="24"/>
              </w:rPr>
              <w:t>1 straipsnio 3 dalies c punktas)</w:t>
            </w:r>
          </w:p>
        </w:tc>
        <w:tc>
          <w:tcPr>
            <w:tcW w:w="469" w:type="pct"/>
            <w:tcBorders>
              <w:top w:val="single" w:sz="6" w:space="0" w:color="auto"/>
              <w:left w:val="single" w:sz="6" w:space="0" w:color="auto"/>
              <w:bottom w:val="single" w:sz="6" w:space="0" w:color="auto"/>
              <w:right w:val="single" w:sz="6" w:space="0" w:color="auto"/>
            </w:tcBorders>
          </w:tcPr>
          <w:p w14:paraId="59407F72"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1A661D0C" w14:textId="77777777" w:rsidR="00BB48CE" w:rsidRDefault="00000000">
            <w:pPr>
              <w:jc w:val="both"/>
              <w:rPr>
                <w:color w:val="000000"/>
                <w:szCs w:val="24"/>
                <w:lang w:val="en-US"/>
              </w:rPr>
            </w:pPr>
            <w:r>
              <w:rPr>
                <w:color w:val="000000"/>
                <w:szCs w:val="24"/>
              </w:rPr>
              <w:t>□ Ne</w:t>
            </w:r>
          </w:p>
        </w:tc>
        <w:tc>
          <w:tcPr>
            <w:tcW w:w="879" w:type="pct"/>
            <w:tcBorders>
              <w:top w:val="single" w:sz="6" w:space="0" w:color="auto"/>
              <w:left w:val="single" w:sz="6" w:space="0" w:color="auto"/>
              <w:bottom w:val="single" w:sz="6" w:space="0" w:color="auto"/>
              <w:right w:val="single" w:sz="6" w:space="0" w:color="auto"/>
            </w:tcBorders>
          </w:tcPr>
          <w:p w14:paraId="5A7506A9" w14:textId="77777777" w:rsidR="00BB48CE" w:rsidRDefault="00BB48CE">
            <w:pPr>
              <w:jc w:val="both"/>
              <w:rPr>
                <w:szCs w:val="24"/>
              </w:rPr>
            </w:pPr>
          </w:p>
        </w:tc>
      </w:tr>
      <w:tr w:rsidR="00BB48CE" w14:paraId="700A2DF8" w14:textId="77777777">
        <w:tc>
          <w:tcPr>
            <w:tcW w:w="289" w:type="pct"/>
            <w:tcBorders>
              <w:top w:val="single" w:sz="6" w:space="0" w:color="auto"/>
              <w:left w:val="single" w:sz="6" w:space="0" w:color="auto"/>
              <w:bottom w:val="single" w:sz="6" w:space="0" w:color="auto"/>
              <w:right w:val="single" w:sz="6" w:space="0" w:color="auto"/>
            </w:tcBorders>
          </w:tcPr>
          <w:p w14:paraId="0AEE7C12" w14:textId="77777777" w:rsidR="00BB48CE" w:rsidRDefault="00000000">
            <w:pPr>
              <w:ind w:left="786" w:right="-465" w:hanging="786"/>
              <w:rPr>
                <w:color w:val="000000"/>
                <w:szCs w:val="24"/>
              </w:rPr>
            </w:pPr>
            <w:r>
              <w:rPr>
                <w:color w:val="000000"/>
                <w:szCs w:val="24"/>
              </w:rPr>
              <w:t>6.</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7A1A81E5" w14:textId="77777777" w:rsidR="00BB48CE" w:rsidRDefault="00000000">
            <w:pPr>
              <w:jc w:val="both"/>
              <w:rPr>
                <w:szCs w:val="24"/>
              </w:rPr>
            </w:pPr>
            <w:r>
              <w:rPr>
                <w:szCs w:val="24"/>
              </w:rPr>
              <w:t xml:space="preserve">Ar pagalba nėra teikiama nekonkurencingų anglių kasyklų uždarymui palengvinti, kuriai taikomas Tarybos sprendimas </w:t>
            </w:r>
            <w:hyperlink r:id="rId64" w:tgtFrame="_blank" w:history="1">
              <w:r>
                <w:rPr>
                  <w:color w:val="0563C1" w:themeColor="hyperlink"/>
                  <w:szCs w:val="24"/>
                  <w:u w:val="single"/>
                </w:rPr>
                <w:t>Nr. 2010/787/ES</w:t>
              </w:r>
            </w:hyperlink>
            <w:r>
              <w:rPr>
                <w:szCs w:val="24"/>
              </w:rPr>
              <w:t xml:space="preserve"> dėl valstybės pagalbos nekonkurencingų anglių kasyklų uždarymui palengvinti? (Reglamento </w:t>
            </w:r>
            <w:hyperlink r:id="rId65" w:tgtFrame="_blank" w:history="1">
              <w:r>
                <w:rPr>
                  <w:color w:val="0563C1" w:themeColor="hyperlink"/>
                  <w:szCs w:val="24"/>
                  <w:u w:val="single"/>
                </w:rPr>
                <w:t>(ES) Nr. 651/2014</w:t>
              </w:r>
            </w:hyperlink>
            <w:r>
              <w:t xml:space="preserve"> </w:t>
            </w:r>
            <w:r>
              <w:rPr>
                <w:szCs w:val="24"/>
              </w:rPr>
              <w:t>1 straipsnio 3 dalies d punktas)</w:t>
            </w:r>
          </w:p>
        </w:tc>
        <w:tc>
          <w:tcPr>
            <w:tcW w:w="469" w:type="pct"/>
            <w:tcBorders>
              <w:top w:val="single" w:sz="6" w:space="0" w:color="auto"/>
              <w:left w:val="single" w:sz="6" w:space="0" w:color="auto"/>
              <w:bottom w:val="single" w:sz="6" w:space="0" w:color="auto"/>
              <w:right w:val="single" w:sz="6" w:space="0" w:color="auto"/>
            </w:tcBorders>
          </w:tcPr>
          <w:p w14:paraId="65F639B5"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3210B6FC"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4648C068" w14:textId="77777777" w:rsidR="00BB48CE" w:rsidRDefault="00BB48CE">
            <w:pPr>
              <w:jc w:val="both"/>
              <w:rPr>
                <w:szCs w:val="24"/>
              </w:rPr>
            </w:pPr>
          </w:p>
        </w:tc>
      </w:tr>
      <w:tr w:rsidR="00BB48CE" w14:paraId="1DE22F29" w14:textId="77777777">
        <w:tc>
          <w:tcPr>
            <w:tcW w:w="289" w:type="pct"/>
            <w:tcBorders>
              <w:top w:val="single" w:sz="6" w:space="0" w:color="auto"/>
              <w:left w:val="single" w:sz="6" w:space="0" w:color="auto"/>
              <w:bottom w:val="single" w:sz="6" w:space="0" w:color="auto"/>
              <w:right w:val="single" w:sz="6" w:space="0" w:color="auto"/>
            </w:tcBorders>
          </w:tcPr>
          <w:p w14:paraId="51927B47" w14:textId="77777777" w:rsidR="00BB48CE" w:rsidRDefault="00000000">
            <w:pPr>
              <w:ind w:left="786" w:right="-465" w:hanging="786"/>
              <w:rPr>
                <w:color w:val="000000"/>
                <w:szCs w:val="24"/>
              </w:rPr>
            </w:pPr>
            <w:r>
              <w:rPr>
                <w:color w:val="000000"/>
                <w:szCs w:val="24"/>
              </w:rPr>
              <w:t>7.</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7B903A1E" w14:textId="77777777" w:rsidR="00BB48CE" w:rsidRDefault="00000000">
            <w:pPr>
              <w:jc w:val="both"/>
              <w:rPr>
                <w:szCs w:val="24"/>
              </w:rPr>
            </w:pPr>
            <w:r>
              <w:rPr>
                <w:szCs w:val="24"/>
              </w:rPr>
              <w:t xml:space="preserve">Tuo atveju, kai pareiškėjas veikia ir 3, 4 ir 5 punkte nurodytuose sektoriuose, ir sektoriuose, kurie įtraukti į šio Reglamento </w:t>
            </w:r>
            <w:hyperlink r:id="rId66" w:tgtFrame="_blank" w:history="1">
              <w:r>
                <w:rPr>
                  <w:color w:val="0563C1" w:themeColor="hyperlink"/>
                  <w:szCs w:val="24"/>
                  <w:u w:val="single"/>
                </w:rPr>
                <w:t>(ES) Nr. 651/2014</w:t>
              </w:r>
            </w:hyperlink>
            <w:r>
              <w:t xml:space="preserve"> </w:t>
            </w:r>
            <w:r>
              <w:rPr>
                <w:szCs w:val="24"/>
              </w:rPr>
              <w:t xml:space="preserve">taikymo sritį, ar teikiant pagalbą bus užtikrinta tinkamomis priemonėmis, pvz., atskiriant veiklos sritis ar išlaidas, kad nebūtų suteikta pagalba į Reglamento </w:t>
            </w:r>
            <w:hyperlink r:id="rId67" w:tgtFrame="_blank" w:history="1">
              <w:r>
                <w:rPr>
                  <w:color w:val="0563C1" w:themeColor="hyperlink"/>
                  <w:szCs w:val="24"/>
                  <w:u w:val="single"/>
                </w:rPr>
                <w:t>(ES) Nr. 651/2014</w:t>
              </w:r>
            </w:hyperlink>
            <w:r>
              <w:t xml:space="preserve"> </w:t>
            </w:r>
            <w:r>
              <w:rPr>
                <w:szCs w:val="24"/>
              </w:rPr>
              <w:t xml:space="preserve">taikymo sritį neįtrauktuose sektoriuose? (Reglamento </w:t>
            </w:r>
            <w:hyperlink r:id="rId68" w:tgtFrame="_blank" w:history="1">
              <w:r>
                <w:rPr>
                  <w:color w:val="0563C1" w:themeColor="hyperlink"/>
                  <w:szCs w:val="24"/>
                  <w:u w:val="single"/>
                </w:rPr>
                <w:t>(ES) Nr. 651/2014</w:t>
              </w:r>
            </w:hyperlink>
            <w:r>
              <w:t xml:space="preserve"> </w:t>
            </w:r>
            <w:r>
              <w:rPr>
                <w:szCs w:val="24"/>
              </w:rPr>
              <w:t>1 straipsnio 3 dalies paskutinė pastraipa)</w:t>
            </w:r>
          </w:p>
        </w:tc>
        <w:tc>
          <w:tcPr>
            <w:tcW w:w="469" w:type="pct"/>
            <w:tcBorders>
              <w:top w:val="single" w:sz="6" w:space="0" w:color="auto"/>
              <w:left w:val="single" w:sz="6" w:space="0" w:color="auto"/>
              <w:bottom w:val="single" w:sz="6" w:space="0" w:color="auto"/>
              <w:right w:val="single" w:sz="6" w:space="0" w:color="auto"/>
            </w:tcBorders>
          </w:tcPr>
          <w:p w14:paraId="67127D3E"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B5BA68A"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1610CF02" w14:textId="77777777" w:rsidR="00BB48CE" w:rsidRDefault="00BB48CE">
            <w:pPr>
              <w:jc w:val="both"/>
              <w:rPr>
                <w:color w:val="000000"/>
                <w:szCs w:val="24"/>
              </w:rPr>
            </w:pPr>
          </w:p>
        </w:tc>
      </w:tr>
      <w:tr w:rsidR="00BB48CE" w14:paraId="7427BFFC" w14:textId="77777777">
        <w:tc>
          <w:tcPr>
            <w:tcW w:w="289" w:type="pct"/>
            <w:tcBorders>
              <w:top w:val="single" w:sz="6" w:space="0" w:color="auto"/>
              <w:left w:val="single" w:sz="6" w:space="0" w:color="auto"/>
              <w:bottom w:val="single" w:sz="6" w:space="0" w:color="auto"/>
              <w:right w:val="single" w:sz="6" w:space="0" w:color="auto"/>
            </w:tcBorders>
          </w:tcPr>
          <w:p w14:paraId="0937EA8D" w14:textId="77777777" w:rsidR="00BB48CE" w:rsidRDefault="00000000">
            <w:pPr>
              <w:ind w:left="786" w:right="-465" w:hanging="786"/>
              <w:rPr>
                <w:color w:val="000000"/>
                <w:szCs w:val="24"/>
              </w:rPr>
            </w:pPr>
            <w:r>
              <w:rPr>
                <w:color w:val="000000"/>
                <w:szCs w:val="24"/>
              </w:rPr>
              <w:t>8.</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412DCE9B" w14:textId="77777777" w:rsidR="00BB48CE" w:rsidRDefault="00000000">
            <w:pPr>
              <w:jc w:val="both"/>
              <w:rPr>
                <w:color w:val="000000"/>
                <w:szCs w:val="24"/>
              </w:rPr>
            </w:pPr>
            <w:r>
              <w:rPr>
                <w:color w:val="000000"/>
                <w:szCs w:val="24"/>
              </w:rPr>
              <w:t xml:space="preserve">Ar pagalba nėra teikiama įmonei, kuriai išduotas </w:t>
            </w:r>
            <w:r>
              <w:rPr>
                <w:b/>
                <w:bCs/>
                <w:color w:val="000000"/>
                <w:szCs w:val="24"/>
              </w:rPr>
              <w:t>vykdomasis raštas sumoms išieškoti</w:t>
            </w:r>
            <w:r>
              <w:rPr>
                <w:color w:val="000000"/>
                <w:szCs w:val="24"/>
              </w:rPr>
              <w:t xml:space="preserve"> pagal Komisijos sprendimą, kuriame tos pačios valstybės narės suteikta pagalba skelbiama neteisėta ir nesuderinama su vidaus rinka? (Reglamento </w:t>
            </w:r>
            <w:hyperlink r:id="rId69" w:tgtFrame="_blank" w:history="1">
              <w:r>
                <w:rPr>
                  <w:color w:val="0563C1" w:themeColor="hyperlink"/>
                  <w:szCs w:val="24"/>
                  <w:u w:val="single"/>
                </w:rPr>
                <w:t>(ES) Nr. 651/2014</w:t>
              </w:r>
            </w:hyperlink>
            <w:r>
              <w:t xml:space="preserve"> </w:t>
            </w:r>
            <w:r>
              <w:rPr>
                <w:color w:val="000000"/>
                <w:szCs w:val="24"/>
              </w:rPr>
              <w:t>1 straipsnio 4 dalies a punktas)</w:t>
            </w:r>
          </w:p>
        </w:tc>
        <w:tc>
          <w:tcPr>
            <w:tcW w:w="469" w:type="pct"/>
            <w:tcBorders>
              <w:top w:val="single" w:sz="6" w:space="0" w:color="auto"/>
              <w:left w:val="single" w:sz="6" w:space="0" w:color="auto"/>
              <w:bottom w:val="single" w:sz="6" w:space="0" w:color="auto"/>
              <w:right w:val="single" w:sz="6" w:space="0" w:color="auto"/>
            </w:tcBorders>
          </w:tcPr>
          <w:p w14:paraId="155BF0AB"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032C9A3B"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61256F32" w14:textId="77777777" w:rsidR="00BB48CE" w:rsidRDefault="00BB48CE">
            <w:pPr>
              <w:jc w:val="both"/>
              <w:rPr>
                <w:color w:val="000000"/>
                <w:szCs w:val="24"/>
              </w:rPr>
            </w:pPr>
          </w:p>
        </w:tc>
      </w:tr>
      <w:tr w:rsidR="00BB48CE" w14:paraId="5A20AA1B" w14:textId="77777777">
        <w:tc>
          <w:tcPr>
            <w:tcW w:w="289" w:type="pct"/>
            <w:tcBorders>
              <w:top w:val="single" w:sz="6" w:space="0" w:color="auto"/>
              <w:left w:val="single" w:sz="6" w:space="0" w:color="auto"/>
              <w:bottom w:val="single" w:sz="6" w:space="0" w:color="auto"/>
              <w:right w:val="single" w:sz="6" w:space="0" w:color="auto"/>
            </w:tcBorders>
          </w:tcPr>
          <w:p w14:paraId="33FD09D4" w14:textId="77777777" w:rsidR="00BB48CE" w:rsidRDefault="00000000">
            <w:pPr>
              <w:ind w:left="786" w:right="-465" w:hanging="786"/>
              <w:rPr>
                <w:color w:val="000000"/>
                <w:szCs w:val="24"/>
              </w:rPr>
            </w:pPr>
            <w:r>
              <w:rPr>
                <w:color w:val="000000"/>
                <w:szCs w:val="24"/>
              </w:rPr>
              <w:t>9.</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0D6ED76C" w14:textId="77777777" w:rsidR="00BB48CE" w:rsidRDefault="00000000">
            <w:pPr>
              <w:jc w:val="both"/>
              <w:rPr>
                <w:color w:val="000000"/>
                <w:szCs w:val="24"/>
              </w:rPr>
            </w:pPr>
            <w:r>
              <w:rPr>
                <w:color w:val="000000"/>
                <w:szCs w:val="24"/>
              </w:rPr>
              <w:t xml:space="preserve">Kokiai kategorijai priskiriamas </w:t>
            </w:r>
            <w:r>
              <w:rPr>
                <w:b/>
                <w:bCs/>
                <w:color w:val="000000"/>
                <w:szCs w:val="24"/>
              </w:rPr>
              <w:t>pareiškėjas</w:t>
            </w:r>
            <w:r>
              <w:rPr>
                <w:color w:val="000000"/>
                <w:szCs w:val="24"/>
              </w:rPr>
              <w:t xml:space="preserve">? (Reglamento </w:t>
            </w:r>
            <w:hyperlink r:id="rId70" w:tgtFrame="_blank" w:history="1">
              <w:r>
                <w:rPr>
                  <w:color w:val="0563C1" w:themeColor="hyperlink"/>
                  <w:szCs w:val="24"/>
                  <w:u w:val="single"/>
                </w:rPr>
                <w:t>(ES) Nr. 651/2014</w:t>
              </w:r>
            </w:hyperlink>
            <w:r>
              <w:t xml:space="preserve"> </w:t>
            </w:r>
            <w:r>
              <w:rPr>
                <w:color w:val="000000"/>
                <w:szCs w:val="24"/>
              </w:rPr>
              <w:t>1 priedas)</w:t>
            </w:r>
          </w:p>
        </w:tc>
        <w:tc>
          <w:tcPr>
            <w:tcW w:w="469" w:type="pct"/>
            <w:tcBorders>
              <w:top w:val="single" w:sz="6" w:space="0" w:color="auto"/>
              <w:left w:val="single" w:sz="6" w:space="0" w:color="auto"/>
              <w:bottom w:val="single" w:sz="6" w:space="0" w:color="auto"/>
              <w:right w:val="single" w:sz="6" w:space="0" w:color="auto"/>
            </w:tcBorders>
          </w:tcPr>
          <w:p w14:paraId="704AEFB2" w14:textId="77777777" w:rsidR="00BB48CE" w:rsidRDefault="00BB48CE">
            <w:pPr>
              <w:rPr>
                <w:szCs w:val="24"/>
              </w:rPr>
            </w:pPr>
          </w:p>
        </w:tc>
        <w:tc>
          <w:tcPr>
            <w:tcW w:w="442" w:type="pct"/>
            <w:tcBorders>
              <w:top w:val="single" w:sz="6" w:space="0" w:color="auto"/>
              <w:left w:val="single" w:sz="6" w:space="0" w:color="auto"/>
              <w:bottom w:val="single" w:sz="6" w:space="0" w:color="auto"/>
              <w:right w:val="single" w:sz="6" w:space="0" w:color="auto"/>
            </w:tcBorders>
          </w:tcPr>
          <w:p w14:paraId="05DA78FA" w14:textId="77777777" w:rsidR="00BB48CE" w:rsidRDefault="00BB48CE">
            <w:pPr>
              <w:jc w:val="both"/>
              <w:rPr>
                <w:color w:val="000000"/>
                <w:szCs w:val="24"/>
              </w:rPr>
            </w:pPr>
          </w:p>
        </w:tc>
        <w:tc>
          <w:tcPr>
            <w:tcW w:w="879" w:type="pct"/>
            <w:tcBorders>
              <w:top w:val="single" w:sz="6" w:space="0" w:color="auto"/>
              <w:left w:val="single" w:sz="6" w:space="0" w:color="auto"/>
              <w:bottom w:val="single" w:sz="6" w:space="0" w:color="auto"/>
              <w:right w:val="single" w:sz="6" w:space="0" w:color="auto"/>
            </w:tcBorders>
          </w:tcPr>
          <w:p w14:paraId="295FC54B" w14:textId="77777777" w:rsidR="00BB48CE" w:rsidRDefault="00BB48CE">
            <w:pPr>
              <w:jc w:val="both"/>
              <w:rPr>
                <w:color w:val="000000"/>
                <w:szCs w:val="24"/>
              </w:rPr>
            </w:pPr>
          </w:p>
        </w:tc>
      </w:tr>
      <w:tr w:rsidR="00BB48CE" w14:paraId="58339690" w14:textId="77777777">
        <w:tc>
          <w:tcPr>
            <w:tcW w:w="289" w:type="pct"/>
            <w:tcBorders>
              <w:top w:val="single" w:sz="6" w:space="0" w:color="auto"/>
              <w:left w:val="single" w:sz="6" w:space="0" w:color="auto"/>
              <w:bottom w:val="single" w:sz="6" w:space="0" w:color="auto"/>
              <w:right w:val="single" w:sz="6" w:space="0" w:color="auto"/>
            </w:tcBorders>
          </w:tcPr>
          <w:p w14:paraId="322AC22C" w14:textId="77777777" w:rsidR="00BB48CE" w:rsidRDefault="00000000">
            <w:pPr>
              <w:ind w:right="-465"/>
              <w:rPr>
                <w:color w:val="000000"/>
                <w:szCs w:val="24"/>
                <w:lang w:val="en-US"/>
              </w:rPr>
            </w:pPr>
            <w:r>
              <w:rPr>
                <w:color w:val="000000"/>
                <w:szCs w:val="24"/>
              </w:rPr>
              <w:t>9.1.</w:t>
            </w:r>
          </w:p>
        </w:tc>
        <w:tc>
          <w:tcPr>
            <w:tcW w:w="2920" w:type="pct"/>
            <w:gridSpan w:val="2"/>
            <w:tcBorders>
              <w:top w:val="single" w:sz="6" w:space="0" w:color="auto"/>
              <w:left w:val="single" w:sz="6" w:space="0" w:color="auto"/>
              <w:bottom w:val="single" w:sz="6" w:space="0" w:color="auto"/>
              <w:right w:val="single" w:sz="6" w:space="0" w:color="auto"/>
            </w:tcBorders>
          </w:tcPr>
          <w:p w14:paraId="2D67EF32" w14:textId="77777777" w:rsidR="00BB48CE" w:rsidRDefault="00000000">
            <w:pPr>
              <w:jc w:val="both"/>
              <w:rPr>
                <w:color w:val="000000"/>
                <w:szCs w:val="24"/>
              </w:rPr>
            </w:pPr>
            <w:r>
              <w:rPr>
                <w:color w:val="000000"/>
                <w:szCs w:val="24"/>
              </w:rPr>
              <w:t>□ Labai mažos ar mažos įmonės</w:t>
            </w:r>
          </w:p>
        </w:tc>
        <w:tc>
          <w:tcPr>
            <w:tcW w:w="469" w:type="pct"/>
            <w:tcBorders>
              <w:top w:val="single" w:sz="6" w:space="0" w:color="auto"/>
              <w:left w:val="single" w:sz="6" w:space="0" w:color="auto"/>
              <w:bottom w:val="single" w:sz="6" w:space="0" w:color="auto"/>
              <w:right w:val="single" w:sz="6" w:space="0" w:color="auto"/>
            </w:tcBorders>
          </w:tcPr>
          <w:p w14:paraId="07502982"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295519A0"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40C4C7D9" w14:textId="77777777" w:rsidR="00BB48CE" w:rsidRDefault="00BB48CE">
            <w:pPr>
              <w:jc w:val="both"/>
              <w:rPr>
                <w:color w:val="000000"/>
                <w:szCs w:val="24"/>
              </w:rPr>
            </w:pPr>
          </w:p>
        </w:tc>
      </w:tr>
      <w:tr w:rsidR="00BB48CE" w14:paraId="5F6AF2BB" w14:textId="77777777">
        <w:tc>
          <w:tcPr>
            <w:tcW w:w="289" w:type="pct"/>
            <w:tcBorders>
              <w:top w:val="single" w:sz="6" w:space="0" w:color="auto"/>
              <w:left w:val="single" w:sz="6" w:space="0" w:color="auto"/>
              <w:bottom w:val="single" w:sz="6" w:space="0" w:color="auto"/>
              <w:right w:val="single" w:sz="6" w:space="0" w:color="auto"/>
            </w:tcBorders>
          </w:tcPr>
          <w:p w14:paraId="4E23FE22" w14:textId="77777777" w:rsidR="00BB48CE" w:rsidRDefault="00000000">
            <w:pPr>
              <w:ind w:right="-465"/>
              <w:rPr>
                <w:color w:val="000000"/>
                <w:szCs w:val="24"/>
                <w:lang w:val="en-US"/>
              </w:rPr>
            </w:pPr>
            <w:r>
              <w:rPr>
                <w:color w:val="000000"/>
                <w:szCs w:val="24"/>
              </w:rPr>
              <w:t>9.2.</w:t>
            </w:r>
          </w:p>
        </w:tc>
        <w:tc>
          <w:tcPr>
            <w:tcW w:w="2920" w:type="pct"/>
            <w:gridSpan w:val="2"/>
            <w:tcBorders>
              <w:top w:val="single" w:sz="6" w:space="0" w:color="auto"/>
              <w:left w:val="single" w:sz="6" w:space="0" w:color="auto"/>
              <w:bottom w:val="single" w:sz="6" w:space="0" w:color="auto"/>
              <w:right w:val="single" w:sz="6" w:space="0" w:color="auto"/>
            </w:tcBorders>
          </w:tcPr>
          <w:p w14:paraId="55D946CD" w14:textId="77777777" w:rsidR="00BB48CE" w:rsidRDefault="00000000">
            <w:pPr>
              <w:jc w:val="both"/>
              <w:rPr>
                <w:color w:val="000000"/>
                <w:szCs w:val="24"/>
              </w:rPr>
            </w:pPr>
            <w:r>
              <w:rPr>
                <w:color w:val="000000"/>
                <w:szCs w:val="24"/>
              </w:rPr>
              <w:t>□ Vidutinės įmonės</w:t>
            </w:r>
          </w:p>
        </w:tc>
        <w:tc>
          <w:tcPr>
            <w:tcW w:w="469" w:type="pct"/>
            <w:tcBorders>
              <w:top w:val="single" w:sz="6" w:space="0" w:color="auto"/>
              <w:left w:val="single" w:sz="6" w:space="0" w:color="auto"/>
              <w:bottom w:val="single" w:sz="6" w:space="0" w:color="auto"/>
              <w:right w:val="single" w:sz="6" w:space="0" w:color="auto"/>
            </w:tcBorders>
          </w:tcPr>
          <w:p w14:paraId="0B7E0842"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7D0F8106"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56D5B418" w14:textId="77777777" w:rsidR="00BB48CE" w:rsidRDefault="00BB48CE">
            <w:pPr>
              <w:jc w:val="both"/>
              <w:rPr>
                <w:color w:val="000000"/>
                <w:szCs w:val="24"/>
              </w:rPr>
            </w:pPr>
          </w:p>
        </w:tc>
      </w:tr>
      <w:tr w:rsidR="00BB48CE" w14:paraId="7E5B6648" w14:textId="77777777">
        <w:tc>
          <w:tcPr>
            <w:tcW w:w="289" w:type="pct"/>
            <w:tcBorders>
              <w:top w:val="single" w:sz="6" w:space="0" w:color="auto"/>
              <w:left w:val="single" w:sz="6" w:space="0" w:color="auto"/>
              <w:bottom w:val="single" w:sz="6" w:space="0" w:color="auto"/>
              <w:right w:val="single" w:sz="6" w:space="0" w:color="auto"/>
            </w:tcBorders>
          </w:tcPr>
          <w:p w14:paraId="24EECCFF" w14:textId="77777777" w:rsidR="00BB48CE" w:rsidRDefault="00000000">
            <w:pPr>
              <w:ind w:right="-465"/>
              <w:rPr>
                <w:color w:val="000000"/>
                <w:szCs w:val="24"/>
                <w:lang w:val="en-US"/>
              </w:rPr>
            </w:pPr>
            <w:r>
              <w:rPr>
                <w:color w:val="000000"/>
                <w:szCs w:val="24"/>
              </w:rPr>
              <w:t>9.3.</w:t>
            </w:r>
          </w:p>
        </w:tc>
        <w:tc>
          <w:tcPr>
            <w:tcW w:w="2920" w:type="pct"/>
            <w:gridSpan w:val="2"/>
            <w:tcBorders>
              <w:top w:val="single" w:sz="6" w:space="0" w:color="auto"/>
              <w:left w:val="single" w:sz="6" w:space="0" w:color="auto"/>
              <w:bottom w:val="single" w:sz="6" w:space="0" w:color="auto"/>
              <w:right w:val="single" w:sz="6" w:space="0" w:color="auto"/>
            </w:tcBorders>
          </w:tcPr>
          <w:p w14:paraId="783B1D0A" w14:textId="77777777" w:rsidR="00BB48CE" w:rsidRDefault="00000000">
            <w:pPr>
              <w:jc w:val="both"/>
              <w:rPr>
                <w:color w:val="000000"/>
                <w:szCs w:val="24"/>
              </w:rPr>
            </w:pPr>
            <w:r>
              <w:rPr>
                <w:color w:val="000000"/>
                <w:szCs w:val="24"/>
              </w:rPr>
              <w:t xml:space="preserve">□ Didelės įmonės </w:t>
            </w:r>
          </w:p>
        </w:tc>
        <w:tc>
          <w:tcPr>
            <w:tcW w:w="469" w:type="pct"/>
            <w:tcBorders>
              <w:top w:val="single" w:sz="6" w:space="0" w:color="auto"/>
              <w:left w:val="single" w:sz="6" w:space="0" w:color="auto"/>
              <w:bottom w:val="single" w:sz="6" w:space="0" w:color="auto"/>
              <w:right w:val="single" w:sz="6" w:space="0" w:color="auto"/>
            </w:tcBorders>
          </w:tcPr>
          <w:p w14:paraId="0ED5F0A3"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07D5530"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2339E037" w14:textId="77777777" w:rsidR="00BB48CE" w:rsidRDefault="00BB48CE">
            <w:pPr>
              <w:jc w:val="both"/>
              <w:rPr>
                <w:color w:val="000000"/>
                <w:szCs w:val="24"/>
              </w:rPr>
            </w:pPr>
          </w:p>
        </w:tc>
      </w:tr>
      <w:tr w:rsidR="00BB48CE" w14:paraId="6B3EB79C" w14:textId="77777777">
        <w:tc>
          <w:tcPr>
            <w:tcW w:w="289" w:type="pct"/>
            <w:tcBorders>
              <w:top w:val="single" w:sz="6" w:space="0" w:color="auto"/>
              <w:left w:val="single" w:sz="6" w:space="0" w:color="auto"/>
              <w:bottom w:val="single" w:sz="6" w:space="0" w:color="auto"/>
              <w:right w:val="single" w:sz="6" w:space="0" w:color="auto"/>
            </w:tcBorders>
          </w:tcPr>
          <w:p w14:paraId="136FE33A" w14:textId="77777777" w:rsidR="00BB48CE" w:rsidRDefault="00000000">
            <w:pPr>
              <w:ind w:right="-465"/>
              <w:rPr>
                <w:color w:val="000000"/>
                <w:szCs w:val="24"/>
              </w:rPr>
            </w:pPr>
            <w:r>
              <w:rPr>
                <w:color w:val="000000"/>
                <w:szCs w:val="24"/>
              </w:rPr>
              <w:lastRenderedPageBreak/>
              <w:t>10.</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466CE057" w14:textId="77777777" w:rsidR="00BB48CE" w:rsidRDefault="00000000">
            <w:pPr>
              <w:jc w:val="both"/>
              <w:rPr>
                <w:color w:val="000000"/>
                <w:szCs w:val="24"/>
              </w:rPr>
            </w:pPr>
            <w:r>
              <w:rPr>
                <w:color w:val="000000"/>
                <w:szCs w:val="24"/>
              </w:rPr>
              <w:t xml:space="preserve">Ar pagalba nėra teikiama </w:t>
            </w:r>
            <w:r>
              <w:rPr>
                <w:b/>
                <w:bCs/>
                <w:color w:val="000000"/>
                <w:szCs w:val="24"/>
              </w:rPr>
              <w:t>sunkumų patiriančiai</w:t>
            </w:r>
            <w:r>
              <w:rPr>
                <w:color w:val="000000"/>
                <w:szCs w:val="24"/>
              </w:rPr>
              <w:t xml:space="preserve"> įmonei? (Reglamento </w:t>
            </w:r>
            <w:hyperlink r:id="rId71" w:tgtFrame="_blank" w:history="1">
              <w:r>
                <w:rPr>
                  <w:color w:val="0563C1" w:themeColor="hyperlink"/>
                  <w:szCs w:val="24"/>
                  <w:u w:val="single"/>
                </w:rPr>
                <w:t>(ES) Nr. 651/2014</w:t>
              </w:r>
            </w:hyperlink>
            <w:r>
              <w:rPr>
                <w:color w:val="000000"/>
                <w:szCs w:val="24"/>
              </w:rPr>
              <w:t xml:space="preserve"> 1 straipsnio 4 dalies c punktas)</w:t>
            </w:r>
          </w:p>
        </w:tc>
        <w:tc>
          <w:tcPr>
            <w:tcW w:w="469" w:type="pct"/>
            <w:tcBorders>
              <w:top w:val="single" w:sz="6" w:space="0" w:color="auto"/>
              <w:left w:val="single" w:sz="6" w:space="0" w:color="auto"/>
              <w:bottom w:val="single" w:sz="6" w:space="0" w:color="auto"/>
              <w:right w:val="single" w:sz="6" w:space="0" w:color="auto"/>
            </w:tcBorders>
          </w:tcPr>
          <w:p w14:paraId="59E75341"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1A71C2CD"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194AF250" w14:textId="77777777" w:rsidR="00BB48CE" w:rsidRDefault="00BB48CE">
            <w:pPr>
              <w:jc w:val="both"/>
              <w:rPr>
                <w:color w:val="000000"/>
                <w:szCs w:val="24"/>
              </w:rPr>
            </w:pPr>
          </w:p>
        </w:tc>
      </w:tr>
      <w:tr w:rsidR="00BB48CE" w14:paraId="5CE72A63" w14:textId="77777777">
        <w:trPr>
          <w:trHeight w:val="1125"/>
        </w:trPr>
        <w:tc>
          <w:tcPr>
            <w:tcW w:w="289" w:type="pct"/>
            <w:tcBorders>
              <w:top w:val="single" w:sz="6" w:space="0" w:color="auto"/>
              <w:left w:val="single" w:sz="6" w:space="0" w:color="auto"/>
              <w:bottom w:val="single" w:sz="6" w:space="0" w:color="auto"/>
              <w:right w:val="single" w:sz="6" w:space="0" w:color="auto"/>
            </w:tcBorders>
          </w:tcPr>
          <w:p w14:paraId="6016BFA0" w14:textId="77777777" w:rsidR="00BB48CE" w:rsidRDefault="00000000">
            <w:pPr>
              <w:ind w:right="-465"/>
              <w:rPr>
                <w:color w:val="000000"/>
                <w:szCs w:val="24"/>
              </w:rPr>
            </w:pPr>
            <w:r>
              <w:rPr>
                <w:color w:val="000000"/>
                <w:szCs w:val="24"/>
              </w:rPr>
              <w:t>11.</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63C242F3" w14:textId="77777777" w:rsidR="00BB48CE" w:rsidRDefault="00000000">
            <w:pPr>
              <w:jc w:val="both"/>
              <w:rPr>
                <w:szCs w:val="24"/>
              </w:rPr>
            </w:pPr>
            <w:r>
              <w:rPr>
                <w:szCs w:val="24"/>
              </w:rPr>
              <w:t xml:space="preserve">Ar pagalbos suteikimas nėra susietas su įpareigojimu pagalbos gavėjui turėti būstinę atitinkamoje valstybėje narėje arba būti iš esmės įsisteigusiu toje valstybėje narėje? (Reglamento </w:t>
            </w:r>
            <w:hyperlink r:id="rId72" w:tgtFrame="_blank" w:history="1">
              <w:r>
                <w:rPr>
                  <w:color w:val="0563C1" w:themeColor="hyperlink"/>
                  <w:szCs w:val="24"/>
                  <w:u w:val="single"/>
                </w:rPr>
                <w:t>(ES) Nr. 651/2014</w:t>
              </w:r>
            </w:hyperlink>
            <w:r>
              <w:rPr>
                <w:szCs w:val="24"/>
              </w:rPr>
              <w:t xml:space="preserve"> 1 straipsnio 5 dalies a punktas)</w:t>
            </w:r>
          </w:p>
        </w:tc>
        <w:tc>
          <w:tcPr>
            <w:tcW w:w="469" w:type="pct"/>
            <w:tcBorders>
              <w:top w:val="single" w:sz="6" w:space="0" w:color="auto"/>
              <w:left w:val="single" w:sz="6" w:space="0" w:color="auto"/>
              <w:bottom w:val="single" w:sz="6" w:space="0" w:color="auto"/>
              <w:right w:val="single" w:sz="6" w:space="0" w:color="auto"/>
            </w:tcBorders>
          </w:tcPr>
          <w:p w14:paraId="2E8F5EB6"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D313E50"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753066DD" w14:textId="77777777" w:rsidR="00BB48CE" w:rsidRDefault="00BB48CE">
            <w:pPr>
              <w:jc w:val="both"/>
              <w:rPr>
                <w:color w:val="000000"/>
                <w:szCs w:val="24"/>
              </w:rPr>
            </w:pPr>
          </w:p>
        </w:tc>
      </w:tr>
      <w:tr w:rsidR="00BB48CE" w14:paraId="1D9E2F09" w14:textId="77777777">
        <w:tc>
          <w:tcPr>
            <w:tcW w:w="289" w:type="pct"/>
            <w:tcBorders>
              <w:top w:val="single" w:sz="6" w:space="0" w:color="auto"/>
              <w:left w:val="single" w:sz="6" w:space="0" w:color="auto"/>
              <w:bottom w:val="single" w:sz="6" w:space="0" w:color="auto"/>
              <w:right w:val="single" w:sz="6" w:space="0" w:color="auto"/>
            </w:tcBorders>
          </w:tcPr>
          <w:p w14:paraId="2B520CC8" w14:textId="77777777" w:rsidR="00BB48CE" w:rsidRDefault="00000000">
            <w:pPr>
              <w:ind w:left="786" w:right="-465" w:hanging="786"/>
              <w:rPr>
                <w:color w:val="000000"/>
                <w:szCs w:val="24"/>
              </w:rPr>
            </w:pPr>
            <w:r>
              <w:rPr>
                <w:color w:val="000000"/>
                <w:szCs w:val="24"/>
              </w:rPr>
              <w:t>12.</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05C10EF4" w14:textId="77777777" w:rsidR="00BB48CE" w:rsidRDefault="00000000">
            <w:pPr>
              <w:jc w:val="both"/>
              <w:rPr>
                <w:szCs w:val="24"/>
              </w:rPr>
            </w:pPr>
            <w:r>
              <w:rPr>
                <w:szCs w:val="24"/>
              </w:rPr>
              <w:t xml:space="preserve">Ar pagalbos suteikimas nėra susietas su įpareigojimu pagalbos gavėjui naudoti šalyje pagamintas prekes arba teikiamas paslaugas? (Reglamento </w:t>
            </w:r>
            <w:hyperlink r:id="rId73" w:tgtFrame="_blank" w:history="1">
              <w:r>
                <w:rPr>
                  <w:color w:val="0563C1" w:themeColor="hyperlink"/>
                  <w:szCs w:val="24"/>
                  <w:u w:val="single"/>
                </w:rPr>
                <w:t>(ES) Nr. 651/2014</w:t>
              </w:r>
            </w:hyperlink>
            <w:r>
              <w:t xml:space="preserve"> </w:t>
            </w:r>
            <w:r>
              <w:rPr>
                <w:szCs w:val="24"/>
              </w:rPr>
              <w:t>1 straipsnio 5 dalies b punktas)</w:t>
            </w:r>
          </w:p>
        </w:tc>
        <w:tc>
          <w:tcPr>
            <w:tcW w:w="469" w:type="pct"/>
            <w:tcBorders>
              <w:top w:val="single" w:sz="6" w:space="0" w:color="auto"/>
              <w:left w:val="single" w:sz="6" w:space="0" w:color="auto"/>
              <w:bottom w:val="single" w:sz="6" w:space="0" w:color="auto"/>
              <w:right w:val="single" w:sz="6" w:space="0" w:color="auto"/>
            </w:tcBorders>
          </w:tcPr>
          <w:p w14:paraId="5A676641"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BCAAD9E"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397376B7" w14:textId="77777777" w:rsidR="00BB48CE" w:rsidRDefault="00BB48CE">
            <w:pPr>
              <w:jc w:val="both"/>
              <w:rPr>
                <w:color w:val="000000"/>
                <w:szCs w:val="24"/>
              </w:rPr>
            </w:pPr>
          </w:p>
        </w:tc>
      </w:tr>
      <w:tr w:rsidR="00BB48CE" w14:paraId="04F88A58" w14:textId="77777777">
        <w:tc>
          <w:tcPr>
            <w:tcW w:w="289" w:type="pct"/>
            <w:tcBorders>
              <w:top w:val="single" w:sz="6" w:space="0" w:color="auto"/>
              <w:left w:val="single" w:sz="6" w:space="0" w:color="auto"/>
              <w:bottom w:val="single" w:sz="6" w:space="0" w:color="auto"/>
              <w:right w:val="single" w:sz="6" w:space="0" w:color="auto"/>
            </w:tcBorders>
          </w:tcPr>
          <w:p w14:paraId="587F3CF7" w14:textId="77777777" w:rsidR="00BB48CE" w:rsidRDefault="00000000">
            <w:pPr>
              <w:ind w:left="786" w:right="-465" w:hanging="786"/>
              <w:rPr>
                <w:color w:val="000000"/>
                <w:szCs w:val="24"/>
              </w:rPr>
            </w:pPr>
            <w:r>
              <w:rPr>
                <w:color w:val="000000"/>
                <w:szCs w:val="24"/>
              </w:rPr>
              <w:t>13.</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2452C1A0" w14:textId="77777777" w:rsidR="00BB48CE" w:rsidRDefault="00000000">
            <w:pPr>
              <w:jc w:val="both"/>
              <w:rPr>
                <w:szCs w:val="24"/>
              </w:rPr>
            </w:pPr>
            <w:r>
              <w:rPr>
                <w:szCs w:val="24"/>
              </w:rPr>
              <w:t xml:space="preserve">Ar pagalbos teikimas nėra susietas su ribojimu pagalbos gavėjui galimybių naudoti mokslinių tyrimų, technologinės plėtros ir inovacijų rezultatus kitose valstybėse narėse? (Reglamento </w:t>
            </w:r>
            <w:hyperlink r:id="rId74" w:tgtFrame="_blank" w:history="1">
              <w:r>
                <w:rPr>
                  <w:color w:val="0563C1" w:themeColor="hyperlink"/>
                  <w:szCs w:val="24"/>
                  <w:u w:val="single"/>
                </w:rPr>
                <w:t>(ES) Nr. 651/2014</w:t>
              </w:r>
            </w:hyperlink>
            <w:r>
              <w:rPr>
                <w:szCs w:val="24"/>
              </w:rPr>
              <w:t xml:space="preserve"> 1 straipsnio 5 dalies c punktas)</w:t>
            </w:r>
          </w:p>
        </w:tc>
        <w:tc>
          <w:tcPr>
            <w:tcW w:w="469" w:type="pct"/>
            <w:tcBorders>
              <w:top w:val="single" w:sz="6" w:space="0" w:color="auto"/>
              <w:left w:val="single" w:sz="6" w:space="0" w:color="auto"/>
              <w:bottom w:val="single" w:sz="6" w:space="0" w:color="auto"/>
              <w:right w:val="single" w:sz="6" w:space="0" w:color="auto"/>
            </w:tcBorders>
          </w:tcPr>
          <w:p w14:paraId="15DACE33"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0625416A"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5E4B2C8A" w14:textId="77777777" w:rsidR="00BB48CE" w:rsidRDefault="00BB48CE">
            <w:pPr>
              <w:jc w:val="both"/>
              <w:rPr>
                <w:color w:val="000000"/>
                <w:szCs w:val="24"/>
              </w:rPr>
            </w:pPr>
          </w:p>
        </w:tc>
      </w:tr>
      <w:tr w:rsidR="00BB48CE" w14:paraId="6D9308B0" w14:textId="77777777">
        <w:tc>
          <w:tcPr>
            <w:tcW w:w="289" w:type="pct"/>
            <w:tcBorders>
              <w:top w:val="single" w:sz="6" w:space="0" w:color="auto"/>
              <w:left w:val="single" w:sz="6" w:space="0" w:color="auto"/>
              <w:bottom w:val="single" w:sz="6" w:space="0" w:color="auto"/>
              <w:right w:val="single" w:sz="6" w:space="0" w:color="auto"/>
            </w:tcBorders>
          </w:tcPr>
          <w:p w14:paraId="4DE00E23" w14:textId="77777777" w:rsidR="00BB48CE" w:rsidRDefault="00000000">
            <w:pPr>
              <w:ind w:left="786" w:right="-465" w:hanging="786"/>
              <w:rPr>
                <w:color w:val="000000"/>
                <w:szCs w:val="24"/>
              </w:rPr>
            </w:pPr>
            <w:r>
              <w:rPr>
                <w:color w:val="000000"/>
                <w:szCs w:val="24"/>
              </w:rPr>
              <w:t>14.</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278B2916" w14:textId="77777777" w:rsidR="00BB48CE" w:rsidRDefault="00000000">
            <w:pPr>
              <w:jc w:val="both"/>
              <w:rPr>
                <w:color w:val="000000"/>
                <w:szCs w:val="24"/>
              </w:rPr>
            </w:pPr>
            <w:r>
              <w:rPr>
                <w:color w:val="000000"/>
                <w:szCs w:val="24"/>
              </w:rPr>
              <w:t xml:space="preserve">Ar nėra viršijama investicinė pagalba aplinkos apsaugai: 15 mln. eurų vienos įmonės vienam investiciniam projektui? (Reglamento </w:t>
            </w:r>
            <w:hyperlink r:id="rId75" w:tgtFrame="_blank" w:history="1">
              <w:r>
                <w:rPr>
                  <w:color w:val="0563C1" w:themeColor="hyperlink"/>
                  <w:szCs w:val="24"/>
                  <w:u w:val="single"/>
                </w:rPr>
                <w:t>(ES) Nr. 651/2014</w:t>
              </w:r>
            </w:hyperlink>
            <w:r>
              <w:rPr>
                <w:color w:val="000000"/>
                <w:szCs w:val="24"/>
              </w:rPr>
              <w:t xml:space="preserve"> 4 straipsnio 1 dalies s punktas)</w:t>
            </w:r>
          </w:p>
        </w:tc>
        <w:tc>
          <w:tcPr>
            <w:tcW w:w="469" w:type="pct"/>
            <w:tcBorders>
              <w:top w:val="single" w:sz="6" w:space="0" w:color="auto"/>
              <w:left w:val="single" w:sz="6" w:space="0" w:color="auto"/>
              <w:bottom w:val="single" w:sz="6" w:space="0" w:color="auto"/>
              <w:right w:val="single" w:sz="6" w:space="0" w:color="auto"/>
            </w:tcBorders>
          </w:tcPr>
          <w:p w14:paraId="20B3F8B3"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3358BE59"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6E8B3592" w14:textId="77777777" w:rsidR="00BB48CE" w:rsidRDefault="00BB48CE">
            <w:pPr>
              <w:jc w:val="both"/>
              <w:rPr>
                <w:color w:val="000000"/>
                <w:szCs w:val="24"/>
              </w:rPr>
            </w:pPr>
          </w:p>
        </w:tc>
      </w:tr>
      <w:tr w:rsidR="00BB48CE" w14:paraId="420328D0" w14:textId="77777777">
        <w:tc>
          <w:tcPr>
            <w:tcW w:w="289" w:type="pct"/>
            <w:tcBorders>
              <w:top w:val="single" w:sz="6" w:space="0" w:color="auto"/>
              <w:left w:val="single" w:sz="6" w:space="0" w:color="auto"/>
              <w:bottom w:val="single" w:sz="6" w:space="0" w:color="auto"/>
              <w:right w:val="single" w:sz="6" w:space="0" w:color="auto"/>
            </w:tcBorders>
          </w:tcPr>
          <w:p w14:paraId="3CC14272" w14:textId="77777777" w:rsidR="00BB48CE" w:rsidRDefault="00000000">
            <w:pPr>
              <w:ind w:left="786" w:right="-465" w:hanging="786"/>
              <w:rPr>
                <w:color w:val="000000"/>
                <w:szCs w:val="24"/>
              </w:rPr>
            </w:pPr>
            <w:r>
              <w:rPr>
                <w:color w:val="000000"/>
                <w:szCs w:val="24"/>
              </w:rPr>
              <w:t>15.</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5D1EE8A7" w14:textId="77777777" w:rsidR="00BB48CE" w:rsidRDefault="00000000">
            <w:pPr>
              <w:jc w:val="both"/>
              <w:rPr>
                <w:color w:val="000000"/>
                <w:szCs w:val="24"/>
              </w:rPr>
            </w:pPr>
            <w:r>
              <w:rPr>
                <w:color w:val="000000"/>
                <w:szCs w:val="24"/>
              </w:rPr>
              <w:t xml:space="preserve">Ar nėra apeinamos pranešimo ribos, nustatytos arba nurodytos Reglamento 4 straipsnio 1 dalies s punkte, dirbtinai išskaidant pagalbos schemas ir pagalbos projektus? </w:t>
            </w:r>
            <w:r>
              <w:rPr>
                <w:color w:val="000000"/>
                <w:szCs w:val="24"/>
                <w:lang w:val="lt"/>
              </w:rPr>
              <w:t xml:space="preserve">(Reglamento </w:t>
            </w:r>
            <w:hyperlink r:id="rId76" w:tgtFrame="_blank" w:history="1">
              <w:r>
                <w:rPr>
                  <w:color w:val="0563C1" w:themeColor="hyperlink"/>
                  <w:szCs w:val="24"/>
                  <w:u w:val="single"/>
                </w:rPr>
                <w:t>(ES) Nr. 651/2014</w:t>
              </w:r>
            </w:hyperlink>
            <w:r>
              <w:rPr>
                <w:color w:val="000000"/>
                <w:szCs w:val="24"/>
                <w:lang w:val="lt"/>
              </w:rPr>
              <w:t xml:space="preserve"> 4 straipsnio 2 dalis)</w:t>
            </w:r>
          </w:p>
        </w:tc>
        <w:tc>
          <w:tcPr>
            <w:tcW w:w="469" w:type="pct"/>
            <w:tcBorders>
              <w:top w:val="single" w:sz="6" w:space="0" w:color="auto"/>
              <w:left w:val="single" w:sz="6" w:space="0" w:color="auto"/>
              <w:bottom w:val="single" w:sz="6" w:space="0" w:color="auto"/>
              <w:right w:val="single" w:sz="6" w:space="0" w:color="auto"/>
            </w:tcBorders>
          </w:tcPr>
          <w:p w14:paraId="05D03553"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1F9A5EC9"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00331040" w14:textId="77777777" w:rsidR="00BB48CE" w:rsidRDefault="00BB48CE">
            <w:pPr>
              <w:jc w:val="both"/>
              <w:rPr>
                <w:color w:val="000000"/>
                <w:szCs w:val="24"/>
              </w:rPr>
            </w:pPr>
          </w:p>
        </w:tc>
      </w:tr>
      <w:tr w:rsidR="00BB48CE" w14:paraId="1A586872" w14:textId="77777777">
        <w:tc>
          <w:tcPr>
            <w:tcW w:w="289" w:type="pct"/>
            <w:tcBorders>
              <w:top w:val="single" w:sz="6" w:space="0" w:color="auto"/>
              <w:left w:val="single" w:sz="6" w:space="0" w:color="auto"/>
              <w:bottom w:val="single" w:sz="6" w:space="0" w:color="auto"/>
              <w:right w:val="single" w:sz="6" w:space="0" w:color="auto"/>
            </w:tcBorders>
          </w:tcPr>
          <w:p w14:paraId="0E418AEF" w14:textId="77777777" w:rsidR="00BB48CE" w:rsidRDefault="00000000">
            <w:pPr>
              <w:ind w:left="786" w:right="-465" w:hanging="786"/>
              <w:rPr>
                <w:color w:val="000000"/>
                <w:szCs w:val="24"/>
              </w:rPr>
            </w:pPr>
            <w:r>
              <w:rPr>
                <w:color w:val="000000"/>
                <w:szCs w:val="24"/>
              </w:rPr>
              <w:t>16.</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037BACBF" w14:textId="77777777" w:rsidR="00BB48CE" w:rsidRDefault="00000000">
            <w:pPr>
              <w:jc w:val="both"/>
              <w:rPr>
                <w:color w:val="000000"/>
                <w:szCs w:val="24"/>
                <w:lang w:val="pt-BR"/>
              </w:rPr>
            </w:pPr>
            <w:r>
              <w:rPr>
                <w:color w:val="000000"/>
                <w:szCs w:val="24"/>
              </w:rPr>
              <w:t xml:space="preserve">Ar teikiama pagalba yra </w:t>
            </w:r>
            <w:r>
              <w:rPr>
                <w:b/>
                <w:bCs/>
                <w:color w:val="000000"/>
                <w:szCs w:val="24"/>
              </w:rPr>
              <w:t>skaidri,</w:t>
            </w:r>
            <w:r>
              <w:rPr>
                <w:color w:val="000000"/>
                <w:szCs w:val="24"/>
              </w:rPr>
              <w:t xml:space="preserve"> atitinkanti Reglamento </w:t>
            </w:r>
            <w:hyperlink r:id="rId77" w:tgtFrame="_blank" w:history="1">
              <w:r>
                <w:rPr>
                  <w:color w:val="0563C1" w:themeColor="hyperlink"/>
                  <w:szCs w:val="24"/>
                  <w:u w:val="single"/>
                </w:rPr>
                <w:t>(ES) Nr. 651/2014</w:t>
              </w:r>
            </w:hyperlink>
            <w:r>
              <w:rPr>
                <w:color w:val="000000"/>
                <w:szCs w:val="24"/>
              </w:rPr>
              <w:t xml:space="preserve"> 5 straipsnio reikalavimus?</w:t>
            </w:r>
          </w:p>
        </w:tc>
        <w:tc>
          <w:tcPr>
            <w:tcW w:w="469" w:type="pct"/>
            <w:tcBorders>
              <w:top w:val="single" w:sz="6" w:space="0" w:color="auto"/>
              <w:left w:val="single" w:sz="6" w:space="0" w:color="auto"/>
              <w:bottom w:val="single" w:sz="6" w:space="0" w:color="auto"/>
              <w:right w:val="single" w:sz="6" w:space="0" w:color="auto"/>
            </w:tcBorders>
          </w:tcPr>
          <w:p w14:paraId="3A9EDE86"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7BCB8AED"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4A9D948B" w14:textId="77777777" w:rsidR="00BB48CE" w:rsidRDefault="00BB48CE">
            <w:pPr>
              <w:jc w:val="both"/>
              <w:rPr>
                <w:color w:val="000000"/>
                <w:szCs w:val="24"/>
              </w:rPr>
            </w:pPr>
          </w:p>
        </w:tc>
      </w:tr>
      <w:tr w:rsidR="00BB48CE" w14:paraId="1356FE42" w14:textId="77777777">
        <w:tc>
          <w:tcPr>
            <w:tcW w:w="289" w:type="pct"/>
            <w:tcBorders>
              <w:top w:val="single" w:sz="6" w:space="0" w:color="auto"/>
              <w:left w:val="single" w:sz="6" w:space="0" w:color="auto"/>
              <w:bottom w:val="single" w:sz="6" w:space="0" w:color="auto"/>
              <w:right w:val="single" w:sz="6" w:space="0" w:color="auto"/>
            </w:tcBorders>
          </w:tcPr>
          <w:p w14:paraId="4CABAFFC" w14:textId="77777777" w:rsidR="00BB48CE" w:rsidRDefault="00000000">
            <w:pPr>
              <w:ind w:left="786" w:right="-465" w:hanging="786"/>
              <w:rPr>
                <w:color w:val="000000"/>
                <w:szCs w:val="24"/>
              </w:rPr>
            </w:pPr>
            <w:r>
              <w:rPr>
                <w:color w:val="000000"/>
                <w:szCs w:val="24"/>
              </w:rPr>
              <w:t>17.</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718B36D4" w14:textId="77777777" w:rsidR="00BB48CE" w:rsidRDefault="00000000">
            <w:pPr>
              <w:jc w:val="both"/>
              <w:rPr>
                <w:color w:val="000000"/>
                <w:szCs w:val="24"/>
              </w:rPr>
            </w:pPr>
            <w:r>
              <w:rPr>
                <w:color w:val="000000"/>
                <w:szCs w:val="24"/>
              </w:rPr>
              <w:t xml:space="preserve">Ar yra pagrįstas pagalbos </w:t>
            </w:r>
            <w:r>
              <w:rPr>
                <w:b/>
                <w:bCs/>
                <w:color w:val="000000"/>
                <w:szCs w:val="24"/>
              </w:rPr>
              <w:t>skatinamasis poveikis,</w:t>
            </w:r>
            <w:r>
              <w:rPr>
                <w:color w:val="000000"/>
                <w:szCs w:val="24"/>
              </w:rPr>
              <w:t xml:space="preserve"> atitinkantis Reglamento </w:t>
            </w:r>
            <w:hyperlink r:id="rId78" w:tgtFrame="_blank" w:history="1">
              <w:r>
                <w:rPr>
                  <w:color w:val="0563C1" w:themeColor="hyperlink"/>
                  <w:szCs w:val="24"/>
                  <w:u w:val="single"/>
                </w:rPr>
                <w:t>(ES) Nr. 651/2014</w:t>
              </w:r>
            </w:hyperlink>
            <w:r>
              <w:t xml:space="preserve"> </w:t>
            </w:r>
            <w:r>
              <w:rPr>
                <w:color w:val="000000"/>
                <w:szCs w:val="24"/>
              </w:rPr>
              <w:t>6 straipsnio reikalavimus?</w:t>
            </w:r>
          </w:p>
        </w:tc>
        <w:tc>
          <w:tcPr>
            <w:tcW w:w="469" w:type="pct"/>
            <w:tcBorders>
              <w:top w:val="single" w:sz="6" w:space="0" w:color="auto"/>
              <w:left w:val="single" w:sz="6" w:space="0" w:color="auto"/>
              <w:bottom w:val="single" w:sz="6" w:space="0" w:color="auto"/>
              <w:right w:val="single" w:sz="6" w:space="0" w:color="auto"/>
            </w:tcBorders>
          </w:tcPr>
          <w:p w14:paraId="04C34C85"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535B3433"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6CEE76F8" w14:textId="77777777" w:rsidR="00BB48CE" w:rsidRDefault="00BB48CE">
            <w:pPr>
              <w:jc w:val="both"/>
              <w:rPr>
                <w:color w:val="000000"/>
                <w:szCs w:val="24"/>
              </w:rPr>
            </w:pPr>
          </w:p>
        </w:tc>
      </w:tr>
      <w:tr w:rsidR="00BB48CE" w14:paraId="011645E1" w14:textId="77777777">
        <w:tc>
          <w:tcPr>
            <w:tcW w:w="289" w:type="pct"/>
            <w:tcBorders>
              <w:top w:val="single" w:sz="6" w:space="0" w:color="auto"/>
              <w:left w:val="single" w:sz="6" w:space="0" w:color="auto"/>
              <w:bottom w:val="single" w:sz="6" w:space="0" w:color="auto"/>
              <w:right w:val="single" w:sz="6" w:space="0" w:color="auto"/>
            </w:tcBorders>
          </w:tcPr>
          <w:p w14:paraId="0B64EEB0" w14:textId="77777777" w:rsidR="00BB48CE" w:rsidRDefault="00000000">
            <w:pPr>
              <w:ind w:left="786" w:right="-465" w:hanging="786"/>
              <w:rPr>
                <w:color w:val="000000"/>
                <w:szCs w:val="24"/>
              </w:rPr>
            </w:pPr>
            <w:r>
              <w:rPr>
                <w:color w:val="000000"/>
                <w:szCs w:val="24"/>
              </w:rPr>
              <w:t>18.</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3A259F11" w14:textId="77777777" w:rsidR="00BB48CE" w:rsidRDefault="00000000">
            <w:pPr>
              <w:jc w:val="both"/>
              <w:rPr>
                <w:color w:val="000000"/>
                <w:szCs w:val="24"/>
              </w:rPr>
            </w:pPr>
            <w:r>
              <w:rPr>
                <w:color w:val="000000"/>
                <w:szCs w:val="24"/>
              </w:rPr>
              <w:t xml:space="preserve">Ar yra laikomasi </w:t>
            </w:r>
            <w:r>
              <w:rPr>
                <w:b/>
                <w:bCs/>
                <w:color w:val="000000"/>
                <w:szCs w:val="24"/>
              </w:rPr>
              <w:t>sumavimo reikalavimų,</w:t>
            </w:r>
            <w:r>
              <w:rPr>
                <w:color w:val="000000"/>
                <w:szCs w:val="24"/>
              </w:rPr>
              <w:t xml:space="preserve"> nustatytų Reglamento </w:t>
            </w:r>
            <w:hyperlink r:id="rId79" w:tgtFrame="_blank" w:history="1">
              <w:r>
                <w:rPr>
                  <w:color w:val="0563C1" w:themeColor="hyperlink"/>
                  <w:szCs w:val="24"/>
                  <w:u w:val="single"/>
                </w:rPr>
                <w:t>(ES) Nr. 651/2014</w:t>
              </w:r>
            </w:hyperlink>
            <w:r>
              <w:t xml:space="preserve"> </w:t>
            </w:r>
            <w:r>
              <w:rPr>
                <w:color w:val="000000"/>
                <w:szCs w:val="24"/>
              </w:rPr>
              <w:t>8 straipsnyje?</w:t>
            </w:r>
          </w:p>
        </w:tc>
        <w:tc>
          <w:tcPr>
            <w:tcW w:w="469" w:type="pct"/>
            <w:tcBorders>
              <w:top w:val="single" w:sz="6" w:space="0" w:color="auto"/>
              <w:left w:val="single" w:sz="6" w:space="0" w:color="auto"/>
              <w:bottom w:val="single" w:sz="6" w:space="0" w:color="auto"/>
              <w:right w:val="single" w:sz="6" w:space="0" w:color="auto"/>
            </w:tcBorders>
          </w:tcPr>
          <w:p w14:paraId="505433CE"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9543D80"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3FC84545" w14:textId="77777777" w:rsidR="00BB48CE" w:rsidRDefault="00BB48CE">
            <w:pPr>
              <w:jc w:val="both"/>
              <w:rPr>
                <w:color w:val="000000"/>
                <w:szCs w:val="24"/>
              </w:rPr>
            </w:pPr>
          </w:p>
        </w:tc>
      </w:tr>
      <w:tr w:rsidR="00BB48CE" w14:paraId="6DFBAF1C" w14:textId="77777777">
        <w:tc>
          <w:tcPr>
            <w:tcW w:w="289" w:type="pct"/>
            <w:tcBorders>
              <w:top w:val="single" w:sz="6" w:space="0" w:color="auto"/>
              <w:left w:val="single" w:sz="6" w:space="0" w:color="auto"/>
              <w:bottom w:val="single" w:sz="6" w:space="0" w:color="auto"/>
              <w:right w:val="single" w:sz="6" w:space="0" w:color="auto"/>
            </w:tcBorders>
          </w:tcPr>
          <w:p w14:paraId="4E838C19" w14:textId="77777777" w:rsidR="00BB48CE" w:rsidRDefault="00000000">
            <w:pPr>
              <w:ind w:left="786" w:right="-465" w:hanging="786"/>
              <w:rPr>
                <w:color w:val="000000"/>
                <w:szCs w:val="24"/>
              </w:rPr>
            </w:pPr>
            <w:r>
              <w:rPr>
                <w:color w:val="000000"/>
                <w:szCs w:val="24"/>
              </w:rPr>
              <w:t>19.</w:t>
            </w:r>
            <w:r>
              <w:rPr>
                <w:color w:val="000000"/>
                <w:szCs w:val="24"/>
              </w:rPr>
              <w:tab/>
            </w:r>
          </w:p>
        </w:tc>
        <w:tc>
          <w:tcPr>
            <w:tcW w:w="2920" w:type="pct"/>
            <w:gridSpan w:val="2"/>
            <w:tcBorders>
              <w:top w:val="single" w:sz="6" w:space="0" w:color="auto"/>
              <w:left w:val="single" w:sz="6" w:space="0" w:color="auto"/>
              <w:bottom w:val="single" w:sz="6" w:space="0" w:color="auto"/>
              <w:right w:val="single" w:sz="6" w:space="0" w:color="auto"/>
            </w:tcBorders>
          </w:tcPr>
          <w:p w14:paraId="27A2803D" w14:textId="77777777" w:rsidR="00BB48CE" w:rsidRDefault="00000000">
            <w:pPr>
              <w:jc w:val="both"/>
              <w:rPr>
                <w:color w:val="000000"/>
                <w:szCs w:val="24"/>
              </w:rPr>
            </w:pPr>
            <w:r>
              <w:rPr>
                <w:color w:val="000000"/>
                <w:szCs w:val="24"/>
              </w:rPr>
              <w:t xml:space="preserve">Ar teikiama ir (ar) suteikta valstybės pagalba atitinka visas Reglamento </w:t>
            </w:r>
            <w:hyperlink r:id="rId80" w:tgtFrame="_blank" w:history="1">
              <w:r>
                <w:rPr>
                  <w:color w:val="0563C1" w:themeColor="hyperlink"/>
                  <w:szCs w:val="24"/>
                  <w:u w:val="single"/>
                </w:rPr>
                <w:t>(ES) Nr. 651/2014</w:t>
              </w:r>
            </w:hyperlink>
            <w:r>
              <w:t xml:space="preserve"> </w:t>
            </w:r>
            <w:r>
              <w:rPr>
                <w:color w:val="000000"/>
                <w:szCs w:val="24"/>
              </w:rPr>
              <w:t>I skyriuje nustatytas sąlygas ir Reglamento III skyriaus 7 skirsnio „Pagalba aplinkos apsaugai“ 41 straipsnyje „Investicinė pagalba atsinaujinančių išteklių energijos gamybai skatinti“ nustatytus reikalavimus?</w:t>
            </w:r>
          </w:p>
        </w:tc>
        <w:tc>
          <w:tcPr>
            <w:tcW w:w="469" w:type="pct"/>
            <w:tcBorders>
              <w:top w:val="single" w:sz="6" w:space="0" w:color="auto"/>
              <w:left w:val="single" w:sz="6" w:space="0" w:color="auto"/>
              <w:bottom w:val="single" w:sz="6" w:space="0" w:color="auto"/>
              <w:right w:val="single" w:sz="6" w:space="0" w:color="auto"/>
            </w:tcBorders>
          </w:tcPr>
          <w:p w14:paraId="201E6B58" w14:textId="77777777" w:rsidR="00BB48CE" w:rsidRDefault="00000000">
            <w:pPr>
              <w:rPr>
                <w:szCs w:val="24"/>
              </w:rPr>
            </w:pPr>
            <w:r>
              <w:rPr>
                <w:szCs w:val="24"/>
              </w:rPr>
              <w:t>□ Taip</w:t>
            </w:r>
          </w:p>
        </w:tc>
        <w:tc>
          <w:tcPr>
            <w:tcW w:w="442" w:type="pct"/>
            <w:tcBorders>
              <w:top w:val="single" w:sz="6" w:space="0" w:color="auto"/>
              <w:left w:val="single" w:sz="6" w:space="0" w:color="auto"/>
              <w:bottom w:val="single" w:sz="6" w:space="0" w:color="auto"/>
              <w:right w:val="single" w:sz="6" w:space="0" w:color="auto"/>
            </w:tcBorders>
          </w:tcPr>
          <w:p w14:paraId="4A08D7E0" w14:textId="77777777" w:rsidR="00BB48CE" w:rsidRDefault="00000000">
            <w:pPr>
              <w:jc w:val="both"/>
              <w:rPr>
                <w:color w:val="000000"/>
                <w:szCs w:val="24"/>
                <w:lang w:val="en-US"/>
              </w:rPr>
            </w:pPr>
            <w:r>
              <w:rPr>
                <w:color w:val="000000"/>
                <w:szCs w:val="24"/>
              </w:rPr>
              <w:t xml:space="preserve">□ Ne </w:t>
            </w:r>
          </w:p>
        </w:tc>
        <w:tc>
          <w:tcPr>
            <w:tcW w:w="879" w:type="pct"/>
            <w:tcBorders>
              <w:top w:val="single" w:sz="6" w:space="0" w:color="auto"/>
              <w:left w:val="single" w:sz="6" w:space="0" w:color="auto"/>
              <w:bottom w:val="single" w:sz="6" w:space="0" w:color="auto"/>
              <w:right w:val="single" w:sz="6" w:space="0" w:color="auto"/>
            </w:tcBorders>
          </w:tcPr>
          <w:p w14:paraId="504E7C19" w14:textId="77777777" w:rsidR="00BB48CE" w:rsidRDefault="00BB48CE">
            <w:pPr>
              <w:jc w:val="both"/>
              <w:rPr>
                <w:color w:val="000000"/>
                <w:szCs w:val="24"/>
              </w:rPr>
            </w:pPr>
          </w:p>
        </w:tc>
      </w:tr>
      <w:tr w:rsidR="00BB48CE" w14:paraId="4596B4FD" w14:textId="77777777">
        <w:trPr>
          <w:trHeight w:val="315"/>
        </w:trPr>
        <w:tc>
          <w:tcPr>
            <w:tcW w:w="2700" w:type="pct"/>
            <w:gridSpan w:val="2"/>
            <w:tcBorders>
              <w:top w:val="single" w:sz="6" w:space="0" w:color="auto"/>
              <w:left w:val="nil"/>
              <w:bottom w:val="nil"/>
              <w:right w:val="nil"/>
            </w:tcBorders>
          </w:tcPr>
          <w:p w14:paraId="6B79B1D1" w14:textId="77777777" w:rsidR="00BB48CE" w:rsidRDefault="00BB48CE">
            <w:pPr>
              <w:rPr>
                <w:color w:val="000000"/>
                <w:szCs w:val="24"/>
              </w:rPr>
            </w:pPr>
          </w:p>
          <w:p w14:paraId="36A78774" w14:textId="77777777" w:rsidR="00BB48CE" w:rsidRDefault="00000000">
            <w:pPr>
              <w:rPr>
                <w:color w:val="000000"/>
                <w:szCs w:val="24"/>
                <w:lang w:val="en-US"/>
              </w:rPr>
            </w:pPr>
            <w:r>
              <w:rPr>
                <w:i/>
                <w:iCs/>
                <w:color w:val="000000"/>
                <w:szCs w:val="24"/>
              </w:rPr>
              <w:t xml:space="preserve">______________________________________ </w:t>
            </w:r>
          </w:p>
          <w:p w14:paraId="54042F9A" w14:textId="77777777" w:rsidR="00BB48CE" w:rsidRDefault="00000000">
            <w:pPr>
              <w:rPr>
                <w:color w:val="000000"/>
                <w:szCs w:val="24"/>
                <w:lang w:val="en-US"/>
              </w:rPr>
            </w:pPr>
            <w:r>
              <w:rPr>
                <w:i/>
                <w:iCs/>
                <w:color w:val="000000"/>
                <w:szCs w:val="24"/>
              </w:rPr>
              <w:t xml:space="preserve">(vertintojas) </w:t>
            </w:r>
          </w:p>
        </w:tc>
        <w:tc>
          <w:tcPr>
            <w:tcW w:w="978" w:type="pct"/>
            <w:gridSpan w:val="2"/>
            <w:tcBorders>
              <w:top w:val="nil"/>
              <w:left w:val="nil"/>
              <w:bottom w:val="nil"/>
              <w:right w:val="nil"/>
            </w:tcBorders>
          </w:tcPr>
          <w:p w14:paraId="3FA30535" w14:textId="77777777" w:rsidR="00BB48CE" w:rsidRDefault="00BB48CE">
            <w:pPr>
              <w:rPr>
                <w:color w:val="000000"/>
                <w:szCs w:val="24"/>
              </w:rPr>
            </w:pPr>
          </w:p>
          <w:p w14:paraId="6C0B890F" w14:textId="77777777" w:rsidR="00BB48CE" w:rsidRDefault="00000000">
            <w:pPr>
              <w:rPr>
                <w:color w:val="000000"/>
                <w:szCs w:val="24"/>
                <w:lang w:val="en-US"/>
              </w:rPr>
            </w:pPr>
            <w:r>
              <w:rPr>
                <w:i/>
                <w:iCs/>
                <w:color w:val="000000"/>
                <w:szCs w:val="24"/>
              </w:rPr>
              <w:t xml:space="preserve">____________ </w:t>
            </w:r>
          </w:p>
          <w:p w14:paraId="1195F73E" w14:textId="77777777" w:rsidR="00BB48CE" w:rsidRDefault="00000000">
            <w:pPr>
              <w:rPr>
                <w:color w:val="000000"/>
                <w:szCs w:val="24"/>
                <w:lang w:val="en-US"/>
              </w:rPr>
            </w:pPr>
            <w:r>
              <w:rPr>
                <w:i/>
                <w:iCs/>
                <w:color w:val="000000"/>
                <w:szCs w:val="24"/>
              </w:rPr>
              <w:t xml:space="preserve">(parašas) </w:t>
            </w:r>
          </w:p>
        </w:tc>
        <w:tc>
          <w:tcPr>
            <w:tcW w:w="1321" w:type="pct"/>
            <w:gridSpan w:val="2"/>
            <w:tcBorders>
              <w:top w:val="nil"/>
              <w:left w:val="nil"/>
              <w:bottom w:val="nil"/>
              <w:right w:val="nil"/>
            </w:tcBorders>
          </w:tcPr>
          <w:p w14:paraId="413AC37D" w14:textId="77777777" w:rsidR="00BB48CE" w:rsidRDefault="00BB48CE">
            <w:pPr>
              <w:rPr>
                <w:color w:val="000000"/>
                <w:szCs w:val="24"/>
              </w:rPr>
            </w:pPr>
          </w:p>
          <w:p w14:paraId="066A7492" w14:textId="77777777" w:rsidR="00BB48CE" w:rsidRDefault="00000000">
            <w:pPr>
              <w:rPr>
                <w:color w:val="000000"/>
                <w:szCs w:val="24"/>
                <w:lang w:val="en-US"/>
              </w:rPr>
            </w:pPr>
            <w:r>
              <w:rPr>
                <w:i/>
                <w:iCs/>
                <w:color w:val="000000"/>
                <w:szCs w:val="24"/>
              </w:rPr>
              <w:t xml:space="preserve">____________ </w:t>
            </w:r>
          </w:p>
          <w:p w14:paraId="3D06B691" w14:textId="77777777" w:rsidR="00BB48CE" w:rsidRDefault="00000000">
            <w:pPr>
              <w:rPr>
                <w:color w:val="000000"/>
                <w:szCs w:val="24"/>
                <w:lang w:val="en-US"/>
              </w:rPr>
            </w:pPr>
            <w:r>
              <w:rPr>
                <w:i/>
                <w:iCs/>
                <w:color w:val="000000"/>
                <w:szCs w:val="24"/>
              </w:rPr>
              <w:t xml:space="preserve">(data) </w:t>
            </w:r>
          </w:p>
        </w:tc>
      </w:tr>
      <w:tr w:rsidR="00BB48CE" w14:paraId="34D67C3C" w14:textId="77777777">
        <w:trPr>
          <w:trHeight w:val="735"/>
        </w:trPr>
        <w:tc>
          <w:tcPr>
            <w:tcW w:w="5000" w:type="pct"/>
            <w:gridSpan w:val="6"/>
            <w:tcBorders>
              <w:top w:val="nil"/>
              <w:left w:val="nil"/>
              <w:bottom w:val="nil"/>
              <w:right w:val="nil"/>
            </w:tcBorders>
          </w:tcPr>
          <w:p w14:paraId="41AA1F5C" w14:textId="77777777" w:rsidR="00BB48CE" w:rsidRDefault="00BB48CE">
            <w:pPr>
              <w:rPr>
                <w:color w:val="000000"/>
                <w:szCs w:val="24"/>
              </w:rPr>
            </w:pPr>
          </w:p>
          <w:p w14:paraId="3681D0E8" w14:textId="77777777" w:rsidR="00BB48CE" w:rsidRDefault="00000000">
            <w:pPr>
              <w:rPr>
                <w:color w:val="000000"/>
                <w:szCs w:val="24"/>
              </w:rPr>
            </w:pPr>
            <w:r>
              <w:rPr>
                <w:b/>
                <w:bCs/>
                <w:color w:val="000000"/>
                <w:szCs w:val="24"/>
              </w:rPr>
              <w:t xml:space="preserve">Patikros peržiūra: </w:t>
            </w:r>
          </w:p>
          <w:p w14:paraId="2D382EDF" w14:textId="77777777" w:rsidR="00BB48CE" w:rsidRDefault="00000000">
            <w:pPr>
              <w:rPr>
                <w:color w:val="000000"/>
                <w:szCs w:val="24"/>
              </w:rPr>
            </w:pPr>
            <w:r>
              <w:rPr>
                <w:color w:val="000000"/>
                <w:szCs w:val="24"/>
              </w:rPr>
              <w:t xml:space="preserve">□ Vertintojo išvadai pritarti </w:t>
            </w:r>
          </w:p>
          <w:p w14:paraId="5F6AEBA4" w14:textId="77777777" w:rsidR="00BB48CE" w:rsidRDefault="00000000">
            <w:pPr>
              <w:rPr>
                <w:color w:val="000000"/>
                <w:szCs w:val="24"/>
              </w:rPr>
            </w:pPr>
            <w:r>
              <w:rPr>
                <w:color w:val="000000"/>
                <w:szCs w:val="24"/>
              </w:rPr>
              <w:t xml:space="preserve">□ Vertintojo išvadai nepritarti </w:t>
            </w:r>
          </w:p>
          <w:p w14:paraId="23DEC91F" w14:textId="77777777" w:rsidR="00BB48CE" w:rsidRDefault="00000000">
            <w:pPr>
              <w:rPr>
                <w:color w:val="000000"/>
                <w:szCs w:val="24"/>
                <w:lang w:val="en-US"/>
              </w:rPr>
            </w:pPr>
            <w:r>
              <w:rPr>
                <w:i/>
                <w:iCs/>
                <w:color w:val="000000"/>
                <w:szCs w:val="24"/>
              </w:rPr>
              <w:t>Pastabos:______________________________________________________________________</w:t>
            </w:r>
          </w:p>
        </w:tc>
      </w:tr>
      <w:tr w:rsidR="00BB48CE" w14:paraId="3235DFC0" w14:textId="77777777">
        <w:trPr>
          <w:trHeight w:val="240"/>
        </w:trPr>
        <w:tc>
          <w:tcPr>
            <w:tcW w:w="2700" w:type="pct"/>
            <w:gridSpan w:val="2"/>
            <w:tcBorders>
              <w:top w:val="nil"/>
              <w:left w:val="nil"/>
              <w:bottom w:val="nil"/>
              <w:right w:val="nil"/>
            </w:tcBorders>
          </w:tcPr>
          <w:p w14:paraId="2368D8B3" w14:textId="77777777" w:rsidR="00BB48CE" w:rsidRDefault="00000000">
            <w:pPr>
              <w:rPr>
                <w:color w:val="000000"/>
                <w:szCs w:val="24"/>
                <w:lang w:val="en-US"/>
              </w:rPr>
            </w:pPr>
            <w:r>
              <w:rPr>
                <w:i/>
                <w:iCs/>
                <w:color w:val="000000"/>
                <w:szCs w:val="24"/>
              </w:rPr>
              <w:t xml:space="preserve">______________________________________ </w:t>
            </w:r>
          </w:p>
          <w:p w14:paraId="084E08C6" w14:textId="77777777" w:rsidR="00BB48CE" w:rsidRDefault="00000000">
            <w:pPr>
              <w:rPr>
                <w:color w:val="000000"/>
                <w:szCs w:val="24"/>
                <w:lang w:val="en-US"/>
              </w:rPr>
            </w:pPr>
            <w:r>
              <w:rPr>
                <w:i/>
                <w:iCs/>
                <w:color w:val="000000"/>
                <w:szCs w:val="24"/>
              </w:rPr>
              <w:t xml:space="preserve">(vertintojo tiesioginis vadovas) </w:t>
            </w:r>
          </w:p>
        </w:tc>
        <w:tc>
          <w:tcPr>
            <w:tcW w:w="978" w:type="pct"/>
            <w:gridSpan w:val="2"/>
            <w:tcBorders>
              <w:top w:val="nil"/>
              <w:left w:val="nil"/>
              <w:bottom w:val="nil"/>
              <w:right w:val="nil"/>
            </w:tcBorders>
          </w:tcPr>
          <w:p w14:paraId="34B33AD2" w14:textId="77777777" w:rsidR="00BB48CE" w:rsidRDefault="00000000">
            <w:pPr>
              <w:rPr>
                <w:color w:val="000000"/>
                <w:szCs w:val="24"/>
                <w:lang w:val="en-US"/>
              </w:rPr>
            </w:pPr>
            <w:r>
              <w:rPr>
                <w:i/>
                <w:iCs/>
                <w:color w:val="000000"/>
                <w:szCs w:val="24"/>
              </w:rPr>
              <w:t xml:space="preserve">____________ </w:t>
            </w:r>
          </w:p>
          <w:p w14:paraId="5AE4482E" w14:textId="77777777" w:rsidR="00BB48CE" w:rsidRDefault="00000000">
            <w:pPr>
              <w:rPr>
                <w:color w:val="000000"/>
                <w:szCs w:val="24"/>
                <w:lang w:val="en-US"/>
              </w:rPr>
            </w:pPr>
            <w:r>
              <w:rPr>
                <w:i/>
                <w:iCs/>
                <w:color w:val="000000"/>
                <w:szCs w:val="24"/>
              </w:rPr>
              <w:t xml:space="preserve">(parašas) </w:t>
            </w:r>
          </w:p>
        </w:tc>
        <w:tc>
          <w:tcPr>
            <w:tcW w:w="1321" w:type="pct"/>
            <w:gridSpan w:val="2"/>
            <w:tcBorders>
              <w:top w:val="nil"/>
              <w:left w:val="nil"/>
              <w:bottom w:val="nil"/>
              <w:right w:val="nil"/>
            </w:tcBorders>
          </w:tcPr>
          <w:p w14:paraId="02B1E7E7" w14:textId="77777777" w:rsidR="00BB48CE" w:rsidRDefault="00000000">
            <w:pPr>
              <w:rPr>
                <w:color w:val="000000"/>
                <w:szCs w:val="24"/>
                <w:lang w:val="en-US"/>
              </w:rPr>
            </w:pPr>
            <w:r>
              <w:rPr>
                <w:i/>
                <w:iCs/>
                <w:color w:val="000000"/>
                <w:szCs w:val="24"/>
              </w:rPr>
              <w:t xml:space="preserve">____________ </w:t>
            </w:r>
          </w:p>
          <w:p w14:paraId="7E1A3E90" w14:textId="77777777" w:rsidR="00BB48CE" w:rsidRDefault="00000000">
            <w:pPr>
              <w:rPr>
                <w:i/>
                <w:iCs/>
                <w:color w:val="000000"/>
                <w:szCs w:val="24"/>
              </w:rPr>
            </w:pPr>
            <w:r>
              <w:rPr>
                <w:i/>
                <w:iCs/>
                <w:color w:val="000000"/>
                <w:szCs w:val="24"/>
              </w:rPr>
              <w:t xml:space="preserve">(data) </w:t>
            </w:r>
          </w:p>
          <w:p w14:paraId="4FDF1C9D" w14:textId="77777777" w:rsidR="00BB48CE" w:rsidRDefault="00BB48CE">
            <w:pPr>
              <w:rPr>
                <w:i/>
                <w:iCs/>
                <w:color w:val="000000"/>
                <w:szCs w:val="24"/>
                <w:lang w:val="en-US"/>
              </w:rPr>
            </w:pPr>
          </w:p>
          <w:p w14:paraId="3D599F02" w14:textId="77777777" w:rsidR="00BB48CE" w:rsidRDefault="00BB48CE">
            <w:pPr>
              <w:rPr>
                <w:color w:val="000000"/>
                <w:szCs w:val="24"/>
                <w:lang w:val="en-US"/>
              </w:rPr>
            </w:pPr>
          </w:p>
        </w:tc>
      </w:tr>
    </w:tbl>
    <w:p w14:paraId="717FC0A8" w14:textId="3772641D" w:rsidR="00BB48CE" w:rsidRPr="004B5DCA" w:rsidRDefault="00BB48CE" w:rsidP="004B5DCA">
      <w:pPr>
        <w:spacing w:line="276" w:lineRule="auto"/>
      </w:pPr>
    </w:p>
    <w:sectPr w:rsidR="00BB48CE" w:rsidRPr="004B5DCA">
      <w:pgSz w:w="11907" w:h="16840"/>
      <w:pgMar w:top="567" w:right="708"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FB8E7" w14:textId="77777777" w:rsidR="00D259AB" w:rsidRDefault="00D259AB">
      <w:pPr>
        <w:overflowPunct w:val="0"/>
        <w:textAlignment w:val="baseline"/>
        <w:rPr>
          <w:lang w:val="en-GB"/>
        </w:rPr>
      </w:pPr>
      <w:r>
        <w:rPr>
          <w:lang w:val="en-GB"/>
        </w:rPr>
        <w:separator/>
      </w:r>
    </w:p>
  </w:endnote>
  <w:endnote w:type="continuationSeparator" w:id="0">
    <w:p w14:paraId="10D451AA" w14:textId="77777777" w:rsidR="00D259AB" w:rsidRDefault="00D259AB">
      <w:pPr>
        <w:overflowPunct w:val="0"/>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6904" w14:textId="77777777" w:rsidR="00BB48CE" w:rsidRDefault="00BB48CE">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A580" w14:textId="77777777" w:rsidR="00BB48CE" w:rsidRDefault="00BB48CE">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169D" w14:textId="77777777" w:rsidR="00BB48CE" w:rsidRDefault="00BB48CE">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85E6" w14:textId="77777777" w:rsidR="00D259AB" w:rsidRDefault="00D259AB">
      <w:pPr>
        <w:overflowPunct w:val="0"/>
        <w:textAlignment w:val="baseline"/>
        <w:rPr>
          <w:lang w:val="en-GB"/>
        </w:rPr>
      </w:pPr>
      <w:r>
        <w:rPr>
          <w:lang w:val="en-GB"/>
        </w:rPr>
        <w:separator/>
      </w:r>
    </w:p>
  </w:footnote>
  <w:footnote w:type="continuationSeparator" w:id="0">
    <w:p w14:paraId="6C88B147" w14:textId="77777777" w:rsidR="00D259AB" w:rsidRDefault="00D259AB">
      <w:pPr>
        <w:overflowPunct w:val="0"/>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5497" w14:textId="77777777" w:rsidR="00BB48CE" w:rsidRDefault="00BB48CE">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B19A" w14:textId="77777777" w:rsidR="00BB48CE" w:rsidRDefault="00000000">
    <w:pPr>
      <w:tabs>
        <w:tab w:val="center" w:pos="4819"/>
        <w:tab w:val="right" w:pos="9638"/>
      </w:tabs>
      <w:jc w:val="center"/>
      <w:rPr>
        <w:sz w:val="22"/>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Pr>
        <w:szCs w:val="22"/>
        <w:lang w:eastAsia="lt-LT"/>
      </w:rPr>
      <w:t>2</w:t>
    </w:r>
    <w:r>
      <w:rPr>
        <w:szCs w:val="22"/>
        <w:lang w:eastAsia="lt-LT"/>
      </w:rPr>
      <w:fldChar w:fldCharType="end"/>
    </w:r>
  </w:p>
  <w:p w14:paraId="776A2AE5" w14:textId="77777777" w:rsidR="00BB48CE" w:rsidRDefault="00BB48CE">
    <w:pPr>
      <w:tabs>
        <w:tab w:val="center" w:pos="4819"/>
        <w:tab w:val="right" w:pos="9638"/>
      </w:tabs>
      <w:jc w:val="right"/>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77A6" w14:textId="77777777" w:rsidR="00BB48CE" w:rsidRDefault="00BB48CE">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06F"/>
    <w:rsid w:val="0016306F"/>
    <w:rsid w:val="004B5DCA"/>
    <w:rsid w:val="00772432"/>
    <w:rsid w:val="00A92153"/>
    <w:rsid w:val="00BB48CE"/>
    <w:rsid w:val="00D259A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B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Hipersaitas">
    <w:name w:val="Hyperlink"/>
    <w:basedOn w:val="Numatytasispastraiposriftas"/>
    <w:unhideWhenUsed/>
    <w:rsid w:val="004B5DCA"/>
    <w:rPr>
      <w:color w:val="0563C1" w:themeColor="hyperlink"/>
      <w:u w:val="single"/>
    </w:rPr>
  </w:style>
  <w:style w:type="character" w:styleId="Neapdorotaspaminjimas">
    <w:name w:val="Unresolved Mention"/>
    <w:basedOn w:val="Numatytasispastraiposriftas"/>
    <w:uiPriority w:val="99"/>
    <w:semiHidden/>
    <w:unhideWhenUsed/>
    <w:rsid w:val="004B5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12772">
      <w:bodyDiv w:val="1"/>
      <w:marLeft w:val="0"/>
      <w:marRight w:val="0"/>
      <w:marTop w:val="0"/>
      <w:marBottom w:val="0"/>
      <w:divBdr>
        <w:top w:val="none" w:sz="0" w:space="0" w:color="auto"/>
        <w:left w:val="none" w:sz="0" w:space="0" w:color="auto"/>
        <w:bottom w:val="none" w:sz="0" w:space="0" w:color="auto"/>
        <w:right w:val="none" w:sz="0" w:space="0" w:color="auto"/>
      </w:divBdr>
    </w:div>
    <w:div w:id="675958515">
      <w:bodyDiv w:val="1"/>
      <w:marLeft w:val="0"/>
      <w:marRight w:val="0"/>
      <w:marTop w:val="0"/>
      <w:marBottom w:val="0"/>
      <w:divBdr>
        <w:top w:val="none" w:sz="0" w:space="0" w:color="auto"/>
        <w:left w:val="none" w:sz="0" w:space="0" w:color="auto"/>
        <w:bottom w:val="none" w:sz="0" w:space="0" w:color="auto"/>
        <w:right w:val="none" w:sz="0" w:space="0" w:color="auto"/>
      </w:divBdr>
    </w:div>
    <w:div w:id="1161045129">
      <w:bodyDiv w:val="1"/>
      <w:marLeft w:val="0"/>
      <w:marRight w:val="0"/>
      <w:marTop w:val="0"/>
      <w:marBottom w:val="0"/>
      <w:divBdr>
        <w:top w:val="none" w:sz="0" w:space="0" w:color="auto"/>
        <w:left w:val="none" w:sz="0" w:space="0" w:color="auto"/>
        <w:bottom w:val="none" w:sz="0" w:space="0" w:color="auto"/>
        <w:right w:val="none" w:sz="0" w:space="0" w:color="auto"/>
      </w:divBdr>
    </w:div>
    <w:div w:id="1425685327">
      <w:bodyDiv w:val="1"/>
      <w:marLeft w:val="0"/>
      <w:marRight w:val="0"/>
      <w:marTop w:val="0"/>
      <w:marBottom w:val="0"/>
      <w:divBdr>
        <w:top w:val="none" w:sz="0" w:space="0" w:color="auto"/>
        <w:left w:val="none" w:sz="0" w:space="0" w:color="auto"/>
        <w:bottom w:val="none" w:sz="0" w:space="0" w:color="auto"/>
        <w:right w:val="none" w:sz="0" w:space="0" w:color="auto"/>
      </w:divBdr>
    </w:div>
    <w:div w:id="1545677146">
      <w:bodyDiv w:val="1"/>
      <w:marLeft w:val="0"/>
      <w:marRight w:val="0"/>
      <w:marTop w:val="0"/>
      <w:marBottom w:val="0"/>
      <w:divBdr>
        <w:top w:val="none" w:sz="0" w:space="0" w:color="auto"/>
        <w:left w:val="none" w:sz="0" w:space="0" w:color="auto"/>
        <w:bottom w:val="none" w:sz="0" w:space="0" w:color="auto"/>
        <w:right w:val="none" w:sz="0" w:space="0" w:color="auto"/>
      </w:divBdr>
      <w:divsChild>
        <w:div w:id="1146779111">
          <w:marLeft w:val="0"/>
          <w:marRight w:val="0"/>
          <w:marTop w:val="0"/>
          <w:marBottom w:val="0"/>
          <w:divBdr>
            <w:top w:val="none" w:sz="0" w:space="0" w:color="auto"/>
            <w:left w:val="none" w:sz="0" w:space="0" w:color="auto"/>
            <w:bottom w:val="none" w:sz="0" w:space="0" w:color="auto"/>
            <w:right w:val="none" w:sz="0" w:space="0" w:color="auto"/>
          </w:divBdr>
          <w:divsChild>
            <w:div w:id="586964310">
              <w:marLeft w:val="0"/>
              <w:marRight w:val="0"/>
              <w:marTop w:val="0"/>
              <w:marBottom w:val="0"/>
              <w:divBdr>
                <w:top w:val="none" w:sz="0" w:space="0" w:color="auto"/>
                <w:left w:val="none" w:sz="0" w:space="0" w:color="auto"/>
                <w:bottom w:val="none" w:sz="0" w:space="0" w:color="auto"/>
                <w:right w:val="none" w:sz="0" w:space="0" w:color="auto"/>
              </w:divBdr>
              <w:divsChild>
                <w:div w:id="1050149385">
                  <w:marLeft w:val="0"/>
                  <w:marRight w:val="0"/>
                  <w:marTop w:val="0"/>
                  <w:marBottom w:val="0"/>
                  <w:divBdr>
                    <w:top w:val="none" w:sz="0" w:space="0" w:color="auto"/>
                    <w:left w:val="none" w:sz="0" w:space="0" w:color="auto"/>
                    <w:bottom w:val="none" w:sz="0" w:space="0" w:color="auto"/>
                    <w:right w:val="none" w:sz="0" w:space="0" w:color="auto"/>
                  </w:divBdr>
                  <w:divsChild>
                    <w:div w:id="2029484913">
                      <w:marLeft w:val="0"/>
                      <w:marRight w:val="0"/>
                      <w:marTop w:val="0"/>
                      <w:marBottom w:val="0"/>
                      <w:divBdr>
                        <w:top w:val="none" w:sz="0" w:space="0" w:color="auto"/>
                        <w:left w:val="none" w:sz="0" w:space="0" w:color="auto"/>
                        <w:bottom w:val="none" w:sz="0" w:space="0" w:color="auto"/>
                        <w:right w:val="none" w:sz="0" w:space="0" w:color="auto"/>
                      </w:divBdr>
                      <w:divsChild>
                        <w:div w:id="164797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369258">
      <w:bodyDiv w:val="1"/>
      <w:marLeft w:val="0"/>
      <w:marRight w:val="0"/>
      <w:marTop w:val="0"/>
      <w:marBottom w:val="0"/>
      <w:divBdr>
        <w:top w:val="none" w:sz="0" w:space="0" w:color="auto"/>
        <w:left w:val="none" w:sz="0" w:space="0" w:color="auto"/>
        <w:bottom w:val="none" w:sz="0" w:space="0" w:color="auto"/>
        <w:right w:val="none" w:sz="0" w:space="0" w:color="auto"/>
      </w:divBdr>
    </w:div>
    <w:div w:id="1846938158">
      <w:bodyDiv w:val="1"/>
      <w:marLeft w:val="0"/>
      <w:marRight w:val="0"/>
      <w:marTop w:val="0"/>
      <w:marBottom w:val="0"/>
      <w:divBdr>
        <w:top w:val="none" w:sz="0" w:space="0" w:color="auto"/>
        <w:left w:val="none" w:sz="0" w:space="0" w:color="auto"/>
        <w:bottom w:val="none" w:sz="0" w:space="0" w:color="auto"/>
        <w:right w:val="none" w:sz="0" w:space="0" w:color="auto"/>
      </w:divBdr>
      <w:divsChild>
        <w:div w:id="1544366292">
          <w:marLeft w:val="0"/>
          <w:marRight w:val="0"/>
          <w:marTop w:val="0"/>
          <w:marBottom w:val="0"/>
          <w:divBdr>
            <w:top w:val="none" w:sz="0" w:space="0" w:color="auto"/>
            <w:left w:val="none" w:sz="0" w:space="0" w:color="auto"/>
            <w:bottom w:val="none" w:sz="0" w:space="0" w:color="auto"/>
            <w:right w:val="none" w:sz="0" w:space="0" w:color="auto"/>
          </w:divBdr>
        </w:div>
        <w:div w:id="1687443576">
          <w:marLeft w:val="0"/>
          <w:marRight w:val="0"/>
          <w:marTop w:val="0"/>
          <w:marBottom w:val="0"/>
          <w:divBdr>
            <w:top w:val="none" w:sz="0" w:space="0" w:color="auto"/>
            <w:left w:val="none" w:sz="0" w:space="0" w:color="auto"/>
            <w:bottom w:val="none" w:sz="0" w:space="0" w:color="auto"/>
            <w:right w:val="none" w:sz="0" w:space="0" w:color="auto"/>
          </w:divBdr>
        </w:div>
        <w:div w:id="562837465">
          <w:marLeft w:val="0"/>
          <w:marRight w:val="0"/>
          <w:marTop w:val="0"/>
          <w:marBottom w:val="0"/>
          <w:divBdr>
            <w:top w:val="none" w:sz="0" w:space="0" w:color="auto"/>
            <w:left w:val="none" w:sz="0" w:space="0" w:color="auto"/>
            <w:bottom w:val="none" w:sz="0" w:space="0" w:color="auto"/>
            <w:right w:val="none" w:sz="0" w:space="0" w:color="auto"/>
          </w:divBdr>
        </w:div>
        <w:div w:id="360742020">
          <w:marLeft w:val="0"/>
          <w:marRight w:val="0"/>
          <w:marTop w:val="0"/>
          <w:marBottom w:val="0"/>
          <w:divBdr>
            <w:top w:val="none" w:sz="0" w:space="0" w:color="auto"/>
            <w:left w:val="none" w:sz="0" w:space="0" w:color="auto"/>
            <w:bottom w:val="none" w:sz="0" w:space="0" w:color="auto"/>
            <w:right w:val="none" w:sz="0" w:space="0" w:color="auto"/>
          </w:divBdr>
        </w:div>
      </w:divsChild>
    </w:div>
    <w:div w:id="211111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legal-content/LIT/TXT/?uri=CELEX:32014R0651&amp;locale=lt" TargetMode="External"/><Relationship Id="rId21" Type="http://schemas.openxmlformats.org/officeDocument/2006/relationships/hyperlink" Target="http://eur-lex.europa.eu/legal-content/LIT/TXT/?uri=CELEX:32014R0651&amp;locale=lt" TargetMode="External"/><Relationship Id="rId42" Type="http://schemas.openxmlformats.org/officeDocument/2006/relationships/hyperlink" Target="http://eur-lex.europa.eu/legal-content/LIT/TXT/?uri=CELEX:32018L2001&amp;locale=lt" TargetMode="External"/><Relationship Id="rId47" Type="http://schemas.openxmlformats.org/officeDocument/2006/relationships/hyperlink" Target="http://eur-lex.europa.eu/legal-content/LIT/TXT/?uri=CELEX:32009L1471&amp;locale=lt" TargetMode="External"/><Relationship Id="rId63" Type="http://schemas.openxmlformats.org/officeDocument/2006/relationships/hyperlink" Target="http://eur-lex.europa.eu/legal-content/LIT/TXT/?uri=CELEX:32014R0651&amp;locale=lt" TargetMode="External"/><Relationship Id="rId68" Type="http://schemas.openxmlformats.org/officeDocument/2006/relationships/hyperlink" Target="http://eur-lex.europa.eu/legal-content/LIT/TXT/?uri=CELEX:32014R0651&amp;locale=lt" TargetMode="External"/><Relationship Id="rId16" Type="http://schemas.openxmlformats.org/officeDocument/2006/relationships/hyperlink" Target="http://eur-lex.europa.eu/legal-content/LIT/TXT/?uri=CELEX:32014R0651&amp;locale=lt" TargetMode="External"/><Relationship Id="rId11" Type="http://schemas.openxmlformats.org/officeDocument/2006/relationships/hyperlink" Target="http://eur-lex.europa.eu/legal-content/LIT/TXT/?uri=CELEX:32014R0651&amp;locale=lt" TargetMode="External"/><Relationship Id="rId32" Type="http://schemas.openxmlformats.org/officeDocument/2006/relationships/header" Target="header3.xml"/><Relationship Id="rId37" Type="http://schemas.openxmlformats.org/officeDocument/2006/relationships/hyperlink" Target="http://eur-lex.europa.eu/legal-content/LIT/TXT/?uri=CELEX:32018L2001&amp;locale=lt" TargetMode="External"/><Relationship Id="rId53" Type="http://schemas.openxmlformats.org/officeDocument/2006/relationships/hyperlink" Target="http://eur-lex.europa.eu/legal-content/LIT/TXT/?uri=CELEX:32014R0651&amp;locale=lt" TargetMode="External"/><Relationship Id="rId58" Type="http://schemas.openxmlformats.org/officeDocument/2006/relationships/hyperlink" Target="http://eur-lex.europa.eu/legal-content/LIT/TXT/?uri=CELEX:32006R1184&amp;locale=lt" TargetMode="External"/><Relationship Id="rId74" Type="http://schemas.openxmlformats.org/officeDocument/2006/relationships/hyperlink" Target="http://eur-lex.europa.eu/legal-content/LIT/TXT/?uri=CELEX:32014R0651&amp;locale=lt" TargetMode="External"/><Relationship Id="rId79" Type="http://schemas.openxmlformats.org/officeDocument/2006/relationships/hyperlink" Target="http://eur-lex.europa.eu/legal-content/LIT/TXT/?uri=CELEX:32014R0651&amp;locale=lt" TargetMode="External"/><Relationship Id="rId5" Type="http://schemas.openxmlformats.org/officeDocument/2006/relationships/styles" Target="styles.xml"/><Relationship Id="rId61" Type="http://schemas.openxmlformats.org/officeDocument/2006/relationships/hyperlink" Target="http://eur-lex.europa.eu/legal-content/LIT/TXT/?uri=CELEX:32014R0651&amp;locale=lt" TargetMode="External"/><Relationship Id="rId82" Type="http://schemas.openxmlformats.org/officeDocument/2006/relationships/theme" Target="theme/theme1.xml"/><Relationship Id="rId19" Type="http://schemas.openxmlformats.org/officeDocument/2006/relationships/hyperlink" Target="http://eur-lex.europa.eu/legal-content/LIT/TXT/?uri=CELEX:32014R0651&amp;locale=lt" TargetMode="External"/><Relationship Id="rId14" Type="http://schemas.openxmlformats.org/officeDocument/2006/relationships/hyperlink" Target="http://eur-lex.europa.eu/legal-content/LIT/TXT/?uri=CELEX:32020R0852&amp;locale=lt" TargetMode="External"/><Relationship Id="rId22" Type="http://schemas.openxmlformats.org/officeDocument/2006/relationships/hyperlink" Target="http://eur-lex.europa.eu/legal-content/LIT/TXT/?uri=CELEX:32014R0651&amp;locale=lt" TargetMode="External"/><Relationship Id="rId27" Type="http://schemas.openxmlformats.org/officeDocument/2006/relationships/hyperlink" Target="http://eur-lex.europa.eu/legal-content/LIT/TXT/?uri=CELEX:32014R0651&amp;locale=lt" TargetMode="External"/><Relationship Id="rId30" Type="http://schemas.openxmlformats.org/officeDocument/2006/relationships/footer" Target="footer1.xml"/><Relationship Id="rId35" Type="http://schemas.openxmlformats.org/officeDocument/2006/relationships/hyperlink" Target="http://eur-lex.europa.eu/legal-content/LIT/TXT/?uri=CELEX:32088R2019&amp;locale=lt" TargetMode="External"/><Relationship Id="rId43" Type="http://schemas.openxmlformats.org/officeDocument/2006/relationships/hyperlink" Target="http://eur-lex.europa.eu/legal-content/LIT/TXT/?uri=CELEX:32008L0098&amp;locale=lt" TargetMode="External"/><Relationship Id="rId48" Type="http://schemas.openxmlformats.org/officeDocument/2006/relationships/hyperlink" Target="http://eur-lex.europa.eu/legal-content/LIT/TXT/?uri=CELEX:31992L0043&amp;locale=lt" TargetMode="External"/><Relationship Id="rId56" Type="http://schemas.openxmlformats.org/officeDocument/2006/relationships/hyperlink" Target="http://eur-lex.europa.eu/legal-content/LIT/TXT/?uri=CELEX:32014R0651&amp;locale=lt" TargetMode="External"/><Relationship Id="rId64" Type="http://schemas.openxmlformats.org/officeDocument/2006/relationships/hyperlink" Target="http://eur-lex.europa.eu/legal-content/LIT/TXT/?uri=CELEX:32787D2010&amp;locale=lt" TargetMode="External"/><Relationship Id="rId69" Type="http://schemas.openxmlformats.org/officeDocument/2006/relationships/hyperlink" Target="http://eur-lex.europa.eu/legal-content/LIT/TXT/?uri=CELEX:32014R0651&amp;locale=lt" TargetMode="External"/><Relationship Id="rId77" Type="http://schemas.openxmlformats.org/officeDocument/2006/relationships/hyperlink" Target="http://eur-lex.europa.eu/legal-content/LIT/TXT/?uri=CELEX:32014R0651&amp;locale=lt" TargetMode="External"/><Relationship Id="rId8" Type="http://schemas.openxmlformats.org/officeDocument/2006/relationships/footnotes" Target="footnotes.xml"/><Relationship Id="rId51" Type="http://schemas.openxmlformats.org/officeDocument/2006/relationships/hyperlink" Target="http://eur-lex.europa.eu/legal-content/LIT/TXT/?uri=CELEX:32014R0651&amp;locale=lt" TargetMode="External"/><Relationship Id="rId72" Type="http://schemas.openxmlformats.org/officeDocument/2006/relationships/hyperlink" Target="http://eur-lex.europa.eu/legal-content/LIT/TXT/?uri=CELEX:32014R0651&amp;locale=lt" TargetMode="External"/><Relationship Id="rId80" Type="http://schemas.openxmlformats.org/officeDocument/2006/relationships/hyperlink" Target="http://eur-lex.europa.eu/legal-content/LIT/TXT/?uri=CELEX:32014R0651&amp;locale=lt" TargetMode="External"/><Relationship Id="rId3" Type="http://schemas.openxmlformats.org/officeDocument/2006/relationships/customXml" Target="../customXml/item3.xml"/><Relationship Id="rId12" Type="http://schemas.openxmlformats.org/officeDocument/2006/relationships/hyperlink" Target="http://eur-lex.europa.eu/legal-content/LIT/TXT/?uri=CELEX:32023R1315&amp;locale=lt" TargetMode="External"/><Relationship Id="rId17" Type="http://schemas.openxmlformats.org/officeDocument/2006/relationships/hyperlink" Target="http://eur-lex.europa.eu/legal-content/LIT/TXT/?uri=CELEX:32014R0651&amp;locale=lt" TargetMode="External"/><Relationship Id="rId25" Type="http://schemas.openxmlformats.org/officeDocument/2006/relationships/image" Target="media/image1.png"/><Relationship Id="rId33" Type="http://schemas.openxmlformats.org/officeDocument/2006/relationships/footer" Target="footer3.xml"/><Relationship Id="rId38" Type="http://schemas.openxmlformats.org/officeDocument/2006/relationships/hyperlink" Target="http://eur-lex.europa.eu/legal-content/LIT/TXT/?uri=CELEX:32018L2001&amp;locale=lt" TargetMode="External"/><Relationship Id="rId46" Type="http://schemas.openxmlformats.org/officeDocument/2006/relationships/hyperlink" Target="http://eur-lex.europa.eu/legal-content/LIT/TXT/?uri=CELEX:32021R2139&amp;locale=lt" TargetMode="External"/><Relationship Id="rId59" Type="http://schemas.openxmlformats.org/officeDocument/2006/relationships/hyperlink" Target="http://eur-lex.europa.eu/legal-content/LIT/TXT/?uri=CELEX:32009R1224&amp;locale=lt" TargetMode="External"/><Relationship Id="rId67" Type="http://schemas.openxmlformats.org/officeDocument/2006/relationships/hyperlink" Target="http://eur-lex.europa.eu/legal-content/LIT/TXT/?uri=CELEX:32014R0651&amp;locale=lt" TargetMode="External"/><Relationship Id="rId20" Type="http://schemas.openxmlformats.org/officeDocument/2006/relationships/hyperlink" Target="http://eur-lex.europa.eu/legal-content/LIT/TXT/?uri=CELEX:32014R0651&amp;locale=lt" TargetMode="External"/><Relationship Id="rId41" Type="http://schemas.openxmlformats.org/officeDocument/2006/relationships/hyperlink" Target="http://eur-lex.europa.eu/legal-content/LIT/TXT/?uri=CELEX:32011L0092&amp;locale=lt" TargetMode="External"/><Relationship Id="rId54" Type="http://schemas.openxmlformats.org/officeDocument/2006/relationships/hyperlink" Target="http://eur-lex.europa.eu/legal-content/LIT/TXT/?uri=CELEX:32014R0651&amp;locale=lt" TargetMode="External"/><Relationship Id="rId62" Type="http://schemas.openxmlformats.org/officeDocument/2006/relationships/hyperlink" Target="http://eur-lex.europa.eu/legal-content/LIT/TXT/?uri=CELEX:32014R0651&amp;locale=lt" TargetMode="External"/><Relationship Id="rId70" Type="http://schemas.openxmlformats.org/officeDocument/2006/relationships/hyperlink" Target="http://eur-lex.europa.eu/legal-content/LIT/TXT/?uri=CELEX:32014R0651&amp;locale=lt" TargetMode="External"/><Relationship Id="rId75" Type="http://schemas.openxmlformats.org/officeDocument/2006/relationships/hyperlink" Target="http://eur-lex.europa.eu/legal-content/LIT/TXT/?uri=CELEX:32014R0651&amp;locale=lt"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eur-lex.europa.eu/legal-content/LIT/TXT/?uri=CELEX:32019R2088&amp;locale=lt" TargetMode="External"/><Relationship Id="rId23" Type="http://schemas.openxmlformats.org/officeDocument/2006/relationships/hyperlink" Target="http://eur-lex.europa.eu/legal-content/LIT/TXT/?uri=CELEX:32014R0651&amp;locale=lt" TargetMode="External"/><Relationship Id="rId28" Type="http://schemas.openxmlformats.org/officeDocument/2006/relationships/header" Target="header1.xml"/><Relationship Id="rId36" Type="http://schemas.openxmlformats.org/officeDocument/2006/relationships/hyperlink" Target="http://eur-lex.europa.eu/legal-content/LIT/TXT/?uri=CELEX:32018L2001&amp;locale=lt" TargetMode="External"/><Relationship Id="rId49" Type="http://schemas.openxmlformats.org/officeDocument/2006/relationships/hyperlink" Target="http://eur-lex.europa.eu/legal-content/LIT/TXT/?uri=CELEX:33471L2009&amp;locale=lt" TargetMode="External"/><Relationship Id="rId57" Type="http://schemas.openxmlformats.org/officeDocument/2006/relationships/hyperlink" Target="http://eur-lex.europa.eu/legal-content/LIT/TXT/?uri=CELEX:32013R1379&amp;locale=lt" TargetMode="External"/><Relationship Id="rId10" Type="http://schemas.openxmlformats.org/officeDocument/2006/relationships/hyperlink" Target="https://www.e-tar.lt/portal/lt/legalAct/922427b0e1a111ec8d9390588bf2de65" TargetMode="External"/><Relationship Id="rId31" Type="http://schemas.openxmlformats.org/officeDocument/2006/relationships/footer" Target="footer2.xml"/><Relationship Id="rId44" Type="http://schemas.openxmlformats.org/officeDocument/2006/relationships/hyperlink" Target="http://eur-lex.europa.eu/legal-content/LIT/TXT/?uri=CELEX:32008L0098&amp;locale=lt" TargetMode="External"/><Relationship Id="rId52" Type="http://schemas.openxmlformats.org/officeDocument/2006/relationships/hyperlink" Target="http://eur-lex.europa.eu/legal-content/LIT/TXT/?uri=CELEX:32023R1315&amp;locale=lt" TargetMode="External"/><Relationship Id="rId60" Type="http://schemas.openxmlformats.org/officeDocument/2006/relationships/hyperlink" Target="http://eur-lex.europa.eu/legal-content/LIT/TXT/?uri=CELEX:32000R0104&amp;locale=lt" TargetMode="External"/><Relationship Id="rId65" Type="http://schemas.openxmlformats.org/officeDocument/2006/relationships/hyperlink" Target="http://eur-lex.europa.eu/legal-content/LIT/TXT/?uri=CELEX:32014R0651&amp;locale=lt" TargetMode="External"/><Relationship Id="rId73" Type="http://schemas.openxmlformats.org/officeDocument/2006/relationships/hyperlink" Target="http://eur-lex.europa.eu/legal-content/LIT/TXT/?uri=CELEX:32014R0651&amp;locale=lt" TargetMode="External"/><Relationship Id="rId78" Type="http://schemas.openxmlformats.org/officeDocument/2006/relationships/hyperlink" Target="http://eur-lex.europa.eu/legal-content/LIT/TXT/?uri=CELEX:32014R0651&amp;locale=lt"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eur-lex.europa.eu/legal-content/LIT/TXT/?uri=CELEX:32018L2001&amp;locale=lt" TargetMode="External"/><Relationship Id="rId18" Type="http://schemas.openxmlformats.org/officeDocument/2006/relationships/hyperlink" Target="http://eur-lex.europa.eu/legal-content/LIT/TXT/?uri=CELEX:32014R0651&amp;locale=lt" TargetMode="External"/><Relationship Id="rId39" Type="http://schemas.openxmlformats.org/officeDocument/2006/relationships/hyperlink" Target="http://eur-lex.europa.eu/legal-content/LIT/TXT/?uri=CELEX:32018L2001&amp;locale=lt" TargetMode="External"/><Relationship Id="rId34" Type="http://schemas.openxmlformats.org/officeDocument/2006/relationships/hyperlink" Target="http://eur-lex.europa.eu/legal-content/LIT/TXT/?uri=CELEX:32852R2020&amp;locale=lt" TargetMode="External"/><Relationship Id="rId50" Type="http://schemas.openxmlformats.org/officeDocument/2006/relationships/hyperlink" Target="http://eur-lex.europa.eu/legal-content/LIT/TXT/?uri=CELEX:32043L0092&amp;locale=lt" TargetMode="External"/><Relationship Id="rId55" Type="http://schemas.openxmlformats.org/officeDocument/2006/relationships/hyperlink" Target="http://eur-lex.europa.eu/legal-content/LIT/TXT/?uri=CELEX:32014R0651&amp;locale=lt" TargetMode="External"/><Relationship Id="rId76" Type="http://schemas.openxmlformats.org/officeDocument/2006/relationships/hyperlink" Target="http://eur-lex.europa.eu/legal-content/LIT/TXT/?uri=CELEX:32014R0651&amp;locale=lt" TargetMode="External"/><Relationship Id="rId7" Type="http://schemas.openxmlformats.org/officeDocument/2006/relationships/webSettings" Target="webSettings.xml"/><Relationship Id="rId71" Type="http://schemas.openxmlformats.org/officeDocument/2006/relationships/hyperlink" Target="http://eur-lex.europa.eu/legal-content/LIT/TXT/?uri=CELEX:32014R0651&amp;locale=lt"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hyperlink" Target="http://eur-lex.europa.eu/legal-content/LIT/TXT/?uri=CELEX:32014R0651&amp;locale=lt" TargetMode="External"/><Relationship Id="rId40" Type="http://schemas.openxmlformats.org/officeDocument/2006/relationships/hyperlink" Target="http://eur-lex.europa.eu/legal-content/LIT/TXT/?uri=CELEX:32018L2001&amp;locale=lt" TargetMode="External"/><Relationship Id="rId45" Type="http://schemas.openxmlformats.org/officeDocument/2006/relationships/hyperlink" Target="http://eur-lex.europa.eu/legal-content/LIT/TXT/?uri=CELEX:32012L0019&amp;locale=lt" TargetMode="External"/><Relationship Id="rId66" Type="http://schemas.openxmlformats.org/officeDocument/2006/relationships/hyperlink" Target="http://eur-lex.europa.eu/legal-content/LIT/TXT/?uri=CELEX:32014R0651&amp;loca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51E0ECF89C14A900DE8C04996CFDF" ma:contentTypeVersion="16" ma:contentTypeDescription="Create a new document." ma:contentTypeScope="" ma:versionID="82db75ebf7713ae079b4f0176c7f4118">
  <xsd:schema xmlns:xsd="http://www.w3.org/2001/XMLSchema" xmlns:ns2="f5aad5d0-9c26-490e-8743-a6c7ceabd501" xmlns:ns3="19cf09c5-daa1-4028-a0ff-74a0be4ec5cc" targetNamespace="http://schemas.microsoft.com/office/2006/metadata/properties" ma:root="true" ma:fieldsID="0b7e072ba977252754ac87885a0716c0" ns2:_="" ns3:_="">
    <xsd:import namespace="f5aad5d0-9c26-490e-8743-a6c7ceabd501"/>
    <xsd:import namespace="19cf09c5-daa1-4028-a0ff-74a0be4ec5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targetNamespace="f5aad5d0-9c26-490e-8743-a6c7ceabd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targetNamespace="19cf09c5-daa1-4028-a0ff-74a0be4ec5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e36950-9db2-4bd5-ad22-c7fd61453dde}" ma:internalName="TaxCatchAll" ma:showField="CatchAllData" ma:web="19cf09c5-daa1-4028-a0ff-74a0be4ec5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TaxCatchAll xmlns="19cf09c5-daa1-4028-a0ff-74a0be4ec5cc" xmlns:xsi="http://www.w3.org/2001/XMLSchema-instance" xsi:nil="true"/>
    <lcf76f155ced4ddcb4097134ff3c332f xmlns="f5aad5d0-9c26-490e-8743-a6c7ceabd5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2F9C54-9715-4CFB-BDFD-A687C201BC88}">
  <ds:schemaRefs>
    <ds:schemaRef ds:uri="http://schemas.microsoft.com/office/2006/metadata/contentType"/>
    <ds:schemaRef ds:uri="http://schemas.microsoft.com/office/2006/metadata/properties/metaAttributes"/>
    <ds:schemaRef ds:uri="http://www.w3.org/2001/XMLSchema"/>
    <ds:schemaRef ds:uri="f5aad5d0-9c26-490e-8743-a6c7ceabd501"/>
    <ds:schemaRef ds:uri="19cf09c5-daa1-4028-a0ff-74a0be4ec5cc"/>
  </ds:schemaRefs>
</ds:datastoreItem>
</file>

<file path=customXml/itemProps2.xml><?xml version="1.0" encoding="utf-8"?>
<ds:datastoreItem xmlns:ds="http://schemas.openxmlformats.org/officeDocument/2006/customXml" ds:itemID="{9195E750-CAEC-4F26-A7B0-04F6DDD34A17}">
  <ds:schemaRefs>
    <ds:schemaRef ds:uri="http://schemas.microsoft.com/sharepoint/v3/contenttype/forms"/>
  </ds:schemaRefs>
</ds:datastoreItem>
</file>

<file path=customXml/itemProps3.xml><?xml version="1.0" encoding="utf-8"?>
<ds:datastoreItem xmlns:ds="http://schemas.openxmlformats.org/officeDocument/2006/customXml" ds:itemID="{421D4B0E-3B55-4BDF-83A7-BAF8FD0B7550}">
  <ds:schemaRefs>
    <ds:schemaRef ds:uri="http://schemas.openxmlformats.org/officeDocument/2006/bibliography"/>
  </ds:schemaRefs>
</ds:datastoreItem>
</file>

<file path=customXml/itemProps4.xml><?xml version="1.0" encoding="utf-8"?>
<ds:datastoreItem xmlns:ds="http://schemas.openxmlformats.org/officeDocument/2006/customXml" ds:itemID="{15E51CF0-3E57-40B9-82E7-AE4DA89FD7C9}">
  <ds:schemaRefs>
    <ds:schemaRef ds:uri="http://schemas.microsoft.com/office/2006/metadata/properties"/>
    <ds:schemaRef ds:uri="19cf09c5-daa1-4028-a0ff-74a0be4ec5cc"/>
    <ds:schemaRef ds:uri="f5aad5d0-9c26-490e-8743-a6c7ceabd50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48379</Words>
  <Characters>27577</Characters>
  <Application>Microsoft Office Word</Application>
  <DocSecurity>0</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75805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2026-07-09T06:57:00Z</dcterms:created>
  <dcterms:modified xsi:type="dcterms:W3CDTF">2026-07-09T06:57:00Z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0x010100AA351E0ECF89C14A900DE8C04996CFDF</vt:lpwstr>
  </property>
  <property fmtid="{D5CDD505-2E9C-101B-9397-08002B2CF9AE}" pid="3" name="MediaServiceImageTags">
    <vt:lpwstr/>
  </property>
</Properties>
</file>