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B6261" w14:textId="09CA2B62" w:rsidR="008C7324" w:rsidRPr="003B4267" w:rsidRDefault="006442E2" w:rsidP="003B4267">
      <w:pPr>
        <w:jc w:val="both"/>
        <w:rPr>
          <w:rFonts w:ascii="Calibri" w:hAnsi="Calibri" w:cs="Calibri"/>
          <w:b/>
          <w:bCs/>
          <w:sz w:val="32"/>
          <w:szCs w:val="32"/>
        </w:rPr>
      </w:pPr>
      <w:r w:rsidRPr="003B4267">
        <w:rPr>
          <w:rFonts w:ascii="Calibri" w:hAnsi="Calibri" w:cs="Calibri"/>
          <w:b/>
          <w:bCs/>
          <w:sz w:val="32"/>
          <w:szCs w:val="32"/>
        </w:rPr>
        <w:t>D.U.K.</w:t>
      </w:r>
    </w:p>
    <w:p w14:paraId="08D6C5F8" w14:textId="4890A8B6" w:rsidR="006442E2" w:rsidRPr="003B4267" w:rsidRDefault="006442E2" w:rsidP="003B4267">
      <w:pPr>
        <w:jc w:val="both"/>
        <w:rPr>
          <w:rFonts w:ascii="Calibri" w:hAnsi="Calibri" w:cs="Calibri"/>
          <w:b/>
          <w:bCs/>
          <w:i/>
          <w:iCs/>
        </w:rPr>
      </w:pPr>
      <w:r w:rsidRPr="003B4267">
        <w:rPr>
          <w:rFonts w:ascii="Calibri" w:hAnsi="Calibri" w:cs="Calibri"/>
          <w:b/>
          <w:bCs/>
          <w:i/>
          <w:iCs/>
        </w:rPr>
        <w:t xml:space="preserve">Kvietimas teikti paraiškas pagal 2022–2030 metų ekonomikos transformacijos ir konkurencingumo plėtros programos pažangos priemonės Nr. 05-001-01-04-02 „Skatinti įmones pereiti link neutralios klimatui ekonomikos“ veiklos „Pramonės </w:t>
      </w:r>
      <w:proofErr w:type="spellStart"/>
      <w:r w:rsidRPr="003B4267">
        <w:rPr>
          <w:rFonts w:ascii="Calibri" w:hAnsi="Calibri" w:cs="Calibri"/>
          <w:b/>
          <w:bCs/>
          <w:i/>
          <w:iCs/>
        </w:rPr>
        <w:t>dekarbonizacija</w:t>
      </w:r>
      <w:proofErr w:type="spellEnd"/>
      <w:r w:rsidRPr="003B4267">
        <w:rPr>
          <w:rFonts w:ascii="Calibri" w:hAnsi="Calibri" w:cs="Calibri"/>
          <w:b/>
          <w:bCs/>
          <w:i/>
          <w:iCs/>
        </w:rPr>
        <w:t>“ (toliau – Aprašas) projektų finansavimo aprašą.</w:t>
      </w:r>
    </w:p>
    <w:p w14:paraId="0B650EE5" w14:textId="77777777" w:rsidR="006442E2" w:rsidRPr="003B4267" w:rsidRDefault="006442E2" w:rsidP="003B4267">
      <w:pPr>
        <w:jc w:val="both"/>
        <w:rPr>
          <w:rFonts w:ascii="Calibri" w:hAnsi="Calibri" w:cs="Calibri"/>
        </w:rPr>
      </w:pPr>
    </w:p>
    <w:p w14:paraId="7597E2C1" w14:textId="4BBC8238" w:rsidR="006442E2" w:rsidRDefault="00420ED6" w:rsidP="003B4267">
      <w:pPr>
        <w:pStyle w:val="ListParagraph"/>
        <w:numPr>
          <w:ilvl w:val="0"/>
          <w:numId w:val="2"/>
        </w:numPr>
        <w:jc w:val="both"/>
        <w:rPr>
          <w:rFonts w:ascii="Calibri" w:hAnsi="Calibri" w:cs="Calibri"/>
          <w:u w:val="single"/>
        </w:rPr>
      </w:pPr>
      <w:r w:rsidRPr="003B4267">
        <w:rPr>
          <w:rFonts w:ascii="Calibri" w:hAnsi="Calibri" w:cs="Calibri"/>
          <w:b/>
          <w:bCs/>
          <w:u w:val="single"/>
        </w:rPr>
        <w:t>KLAUSIMAS:</w:t>
      </w:r>
      <w:r w:rsidRPr="003B4267">
        <w:rPr>
          <w:rFonts w:ascii="Calibri" w:hAnsi="Calibri" w:cs="Calibri"/>
          <w:u w:val="single"/>
        </w:rPr>
        <w:t xml:space="preserve"> </w:t>
      </w:r>
      <w:r w:rsidR="006442E2" w:rsidRPr="003B4267">
        <w:rPr>
          <w:rFonts w:ascii="Calibri" w:hAnsi="Calibri" w:cs="Calibri"/>
          <w:u w:val="single"/>
        </w:rPr>
        <w:t>Ar galima paraišką teikti naujoms, šiuo metu gamybos procese nenaudojamoms, investicijoms?</w:t>
      </w:r>
    </w:p>
    <w:p w14:paraId="2021D22E" w14:textId="77777777" w:rsidR="003B4267" w:rsidRPr="003B4267" w:rsidRDefault="003B4267" w:rsidP="003B4267">
      <w:pPr>
        <w:pStyle w:val="ListParagraph"/>
        <w:jc w:val="both"/>
        <w:rPr>
          <w:rFonts w:ascii="Calibri" w:hAnsi="Calibri" w:cs="Calibri"/>
          <w:u w:val="single"/>
        </w:rPr>
      </w:pPr>
    </w:p>
    <w:p w14:paraId="0CC4DABB" w14:textId="57301971" w:rsidR="00A96DC8" w:rsidRPr="003B4267" w:rsidRDefault="00420ED6" w:rsidP="003B4267">
      <w:pPr>
        <w:pStyle w:val="ListParagraph"/>
        <w:jc w:val="both"/>
        <w:rPr>
          <w:rFonts w:ascii="Calibri" w:hAnsi="Calibri" w:cs="Calibri"/>
        </w:rPr>
      </w:pPr>
      <w:r w:rsidRPr="003B4267">
        <w:rPr>
          <w:rFonts w:ascii="Calibri" w:hAnsi="Calibri" w:cs="Calibri"/>
          <w:b/>
          <w:bCs/>
        </w:rPr>
        <w:t>ATSAKYMAS:</w:t>
      </w:r>
      <w:r w:rsidRPr="003B4267">
        <w:rPr>
          <w:rFonts w:ascii="Calibri" w:hAnsi="Calibri" w:cs="Calibri"/>
        </w:rPr>
        <w:t xml:space="preserve"> </w:t>
      </w:r>
      <w:r w:rsidR="00A96DC8" w:rsidRPr="003B4267">
        <w:rPr>
          <w:rFonts w:ascii="Calibri" w:hAnsi="Calibri" w:cs="Calibri"/>
        </w:rPr>
        <w:t xml:space="preserve">Ši priemonė remia ne naujų sistemų įdiegimą, o esamų gamybos procesų atnaujinimą – technologijų pakeitimą ekologiškesnėmis ir energijos vartojimo efektyvumą didinančiomis įrangomis. Pagrindinis tikslas – skatinti įmones investuoti į jau veikiančių sprendimų modernizavimą, kad būtų sumažintas energijos suvartojimas ir šiltnamio efektą sukeliančių dujų emisijos. Tokiu būdu subsidija teikiama tik už papildomas išlaidas, skirtas aukštesnio energetinio efektyvumo pasiekimui, o ne už bazinę įrangą, kuri atitiktų įprastą komercinę praktiką. </w:t>
      </w:r>
      <w:r w:rsidR="00460073">
        <w:rPr>
          <w:rFonts w:ascii="Calibri" w:hAnsi="Calibri" w:cs="Calibri"/>
        </w:rPr>
        <w:t>Primename, kad f</w:t>
      </w:r>
      <w:r w:rsidR="00A96DC8" w:rsidRPr="003B4267">
        <w:rPr>
          <w:rFonts w:ascii="Calibri" w:hAnsi="Calibri" w:cs="Calibri"/>
        </w:rPr>
        <w:t xml:space="preserve">inansuojamos investicijos turi būti naujos (nenaudotos), įsigyjamą įrangą būtina nustatyti audito ataskaitoje ir ji turi prisidėti prie realaus energijos (MWh) taupymo bei CO₂ emisijų mažinimo (t </w:t>
      </w:r>
      <w:proofErr w:type="spellStart"/>
      <w:r w:rsidR="00A96DC8" w:rsidRPr="003B4267">
        <w:rPr>
          <w:rFonts w:ascii="Calibri" w:hAnsi="Calibri" w:cs="Calibri"/>
        </w:rPr>
        <w:t>CO₂e</w:t>
      </w:r>
      <w:proofErr w:type="spellEnd"/>
      <w:r w:rsidR="00A96DC8" w:rsidRPr="003B4267">
        <w:rPr>
          <w:rFonts w:ascii="Calibri" w:hAnsi="Calibri" w:cs="Calibri"/>
        </w:rPr>
        <w:t>) rodiklių</w:t>
      </w:r>
      <w:r w:rsidR="003B4267" w:rsidRPr="003B4267">
        <w:rPr>
          <w:rFonts w:ascii="Calibri" w:hAnsi="Calibri" w:cs="Calibri"/>
        </w:rPr>
        <w:t>;</w:t>
      </w:r>
      <w:r w:rsidR="00A96DC8" w:rsidRPr="003B4267">
        <w:rPr>
          <w:rFonts w:ascii="Calibri" w:hAnsi="Calibri" w:cs="Calibri"/>
        </w:rPr>
        <w:t xml:space="preserve"> </w:t>
      </w:r>
    </w:p>
    <w:p w14:paraId="748269E8" w14:textId="77777777" w:rsidR="006442E2" w:rsidRPr="003B4267" w:rsidRDefault="006442E2" w:rsidP="003B4267">
      <w:pPr>
        <w:pStyle w:val="ListParagraph"/>
        <w:jc w:val="both"/>
        <w:rPr>
          <w:rFonts w:ascii="Calibri" w:hAnsi="Calibri" w:cs="Calibri"/>
        </w:rPr>
      </w:pPr>
    </w:p>
    <w:p w14:paraId="4434BBE4" w14:textId="2CE34257" w:rsidR="006442E2" w:rsidRDefault="00420ED6" w:rsidP="003B4267">
      <w:pPr>
        <w:pStyle w:val="ListParagraph"/>
        <w:numPr>
          <w:ilvl w:val="0"/>
          <w:numId w:val="2"/>
        </w:numPr>
        <w:jc w:val="both"/>
        <w:rPr>
          <w:rFonts w:ascii="Calibri" w:hAnsi="Calibri" w:cs="Calibri"/>
          <w:u w:val="single"/>
        </w:rPr>
      </w:pPr>
      <w:r w:rsidRPr="003B4267">
        <w:rPr>
          <w:rFonts w:ascii="Calibri" w:hAnsi="Calibri" w:cs="Calibri"/>
          <w:b/>
          <w:bCs/>
          <w:u w:val="single"/>
        </w:rPr>
        <w:t>KLAUSIMAS:</w:t>
      </w:r>
      <w:r w:rsidRPr="003B4267">
        <w:rPr>
          <w:rFonts w:ascii="Calibri" w:hAnsi="Calibri" w:cs="Calibri"/>
          <w:u w:val="single"/>
        </w:rPr>
        <w:t xml:space="preserve"> </w:t>
      </w:r>
      <w:r w:rsidR="006442E2" w:rsidRPr="003B4267">
        <w:rPr>
          <w:rFonts w:ascii="Calibri" w:hAnsi="Calibri" w:cs="Calibri"/>
          <w:u w:val="single"/>
        </w:rPr>
        <w:t>Dėl senos įrangos: koks jos likimas? Ją įmonė turi utilizuoti, parduoti? Kokiu būdu tai reikės patvirtinti/pagrįsti? Jei reikės išimti tokią įrangą iš gamybos, nuo kada konkrečiai?</w:t>
      </w:r>
    </w:p>
    <w:p w14:paraId="3F31055F" w14:textId="77777777" w:rsidR="003B4267" w:rsidRPr="003B4267" w:rsidRDefault="003B4267" w:rsidP="003B4267">
      <w:pPr>
        <w:pStyle w:val="ListParagraph"/>
        <w:jc w:val="both"/>
        <w:rPr>
          <w:rFonts w:ascii="Calibri" w:hAnsi="Calibri" w:cs="Calibri"/>
          <w:u w:val="single"/>
        </w:rPr>
      </w:pPr>
    </w:p>
    <w:p w14:paraId="011533BA" w14:textId="5C714C4C" w:rsidR="006442E2" w:rsidRPr="003B4267" w:rsidRDefault="00420ED6" w:rsidP="003B4267">
      <w:pPr>
        <w:pStyle w:val="ListParagraph"/>
        <w:jc w:val="both"/>
        <w:rPr>
          <w:rFonts w:ascii="Calibri" w:hAnsi="Calibri" w:cs="Calibri"/>
        </w:rPr>
      </w:pPr>
      <w:r w:rsidRPr="003B4267">
        <w:rPr>
          <w:rFonts w:ascii="Calibri" w:hAnsi="Calibri" w:cs="Calibri"/>
          <w:b/>
          <w:bCs/>
        </w:rPr>
        <w:t>ATSAKYMAS:</w:t>
      </w:r>
      <w:r w:rsidRPr="003B4267">
        <w:rPr>
          <w:rFonts w:ascii="Calibri" w:hAnsi="Calibri" w:cs="Calibri"/>
        </w:rPr>
        <w:t xml:space="preserve"> </w:t>
      </w:r>
      <w:r w:rsidR="005E5B4F" w:rsidRPr="003B4267">
        <w:rPr>
          <w:rFonts w:ascii="Calibri" w:hAnsi="Calibri" w:cs="Calibri"/>
        </w:rPr>
        <w:t>Apraše nenumatyta prievolė Pareiškėjui pateikti senos (keičiamos) įrangos utilizavimą ar pardavimą  patvirtinančius dokumentus. Į gamybos procesą integravus už paramos lėšas įsigytą įrangą, anksčiau naudota įranga iš gamybinio proceso turi būti išimta;</w:t>
      </w:r>
    </w:p>
    <w:p w14:paraId="14DBEE51" w14:textId="77777777" w:rsidR="006442E2" w:rsidRPr="003B4267" w:rsidRDefault="006442E2" w:rsidP="003B4267">
      <w:pPr>
        <w:pStyle w:val="ListParagraph"/>
        <w:jc w:val="both"/>
        <w:rPr>
          <w:rFonts w:ascii="Calibri" w:hAnsi="Calibri" w:cs="Calibri"/>
        </w:rPr>
      </w:pPr>
    </w:p>
    <w:p w14:paraId="1E932BF3" w14:textId="39D86DF7" w:rsidR="005E5B4F" w:rsidRDefault="00420ED6" w:rsidP="003B4267">
      <w:pPr>
        <w:pStyle w:val="ListParagraph"/>
        <w:numPr>
          <w:ilvl w:val="0"/>
          <w:numId w:val="2"/>
        </w:numPr>
        <w:jc w:val="both"/>
        <w:rPr>
          <w:rFonts w:ascii="Calibri" w:hAnsi="Calibri" w:cs="Calibri"/>
          <w:u w:val="single"/>
        </w:rPr>
      </w:pPr>
      <w:r w:rsidRPr="003B4267">
        <w:rPr>
          <w:rFonts w:ascii="Calibri" w:hAnsi="Calibri" w:cs="Calibri"/>
          <w:b/>
          <w:bCs/>
          <w:u w:val="single"/>
        </w:rPr>
        <w:t>KLAUSIMAS:</w:t>
      </w:r>
      <w:r w:rsidRPr="003B4267">
        <w:rPr>
          <w:rFonts w:ascii="Calibri" w:hAnsi="Calibri" w:cs="Calibri"/>
          <w:u w:val="single"/>
        </w:rPr>
        <w:t xml:space="preserve"> </w:t>
      </w:r>
      <w:r w:rsidR="006442E2" w:rsidRPr="003B4267">
        <w:rPr>
          <w:rFonts w:ascii="Calibri" w:hAnsi="Calibri" w:cs="Calibri"/>
          <w:u w:val="single"/>
        </w:rPr>
        <w:t>Nuo ko skaičiuojamas sutaupymas – nuo viso gamybos proceso, ar nuo tos dalies, į kurią investuojama</w:t>
      </w:r>
      <w:r w:rsidR="003B4267" w:rsidRPr="003B4267">
        <w:rPr>
          <w:rFonts w:ascii="Calibri" w:hAnsi="Calibri" w:cs="Calibri"/>
          <w:u w:val="single"/>
        </w:rPr>
        <w:t>?</w:t>
      </w:r>
    </w:p>
    <w:p w14:paraId="009A2DEF" w14:textId="77777777" w:rsidR="003B4267" w:rsidRPr="003B4267" w:rsidRDefault="003B4267" w:rsidP="003B4267">
      <w:pPr>
        <w:pStyle w:val="ListParagraph"/>
        <w:jc w:val="both"/>
        <w:rPr>
          <w:rFonts w:ascii="Calibri" w:hAnsi="Calibri" w:cs="Calibri"/>
          <w:u w:val="single"/>
        </w:rPr>
      </w:pPr>
    </w:p>
    <w:p w14:paraId="6154B024" w14:textId="77777777" w:rsidR="00B04B79" w:rsidRDefault="003B4267" w:rsidP="003B4267">
      <w:pPr>
        <w:pStyle w:val="ListParagraph"/>
        <w:jc w:val="both"/>
        <w:rPr>
          <w:rFonts w:ascii="Calibri" w:hAnsi="Calibri" w:cs="Calibri"/>
        </w:rPr>
      </w:pPr>
      <w:r w:rsidRPr="003B4267">
        <w:rPr>
          <w:rFonts w:ascii="Calibri" w:hAnsi="Calibri" w:cs="Calibri"/>
          <w:b/>
          <w:bCs/>
        </w:rPr>
        <w:t>ATSAKYMAS:</w:t>
      </w:r>
      <w:r w:rsidRPr="003B4267">
        <w:rPr>
          <w:rFonts w:ascii="Calibri" w:hAnsi="Calibri" w:cs="Calibri"/>
        </w:rPr>
        <w:t xml:space="preserve"> </w:t>
      </w:r>
      <w:r w:rsidR="006442E2" w:rsidRPr="003B4267">
        <w:rPr>
          <w:rFonts w:ascii="Calibri" w:hAnsi="Calibri" w:cs="Calibri"/>
        </w:rPr>
        <w:t>Šilumos ir (arba) elektros energijos bei ŠESD emisijos kiekio sutaupymo skaičiavimus atlieka audito kompanijos. Agentūra vertindama Paraiškas vadovausis Audito ataskaitoje pateikiamais skaičiavimais</w:t>
      </w:r>
      <w:r w:rsidR="005E5B4F" w:rsidRPr="003B4267">
        <w:rPr>
          <w:rFonts w:ascii="Calibri" w:hAnsi="Calibri" w:cs="Calibri"/>
        </w:rPr>
        <w:t>. Išsamiau su auditų atlikimų gairėmis galite susipažinti adresu: https://www.ena.lt/energijos-vartojimo-auditas/ ("Pagrindiniai teisės aktai"/ Auditų atlikimo metodikos)</w:t>
      </w:r>
      <w:r w:rsidR="00B04B79">
        <w:rPr>
          <w:rFonts w:ascii="Calibri" w:hAnsi="Calibri" w:cs="Calibri"/>
        </w:rPr>
        <w:t xml:space="preserve">. </w:t>
      </w:r>
    </w:p>
    <w:p w14:paraId="75751FFA" w14:textId="5E4CE02D" w:rsidR="006442E2" w:rsidRPr="00B04B79" w:rsidRDefault="00B04B79" w:rsidP="003B4267">
      <w:pPr>
        <w:pStyle w:val="ListParagraph"/>
        <w:jc w:val="both"/>
        <w:rPr>
          <w:rFonts w:ascii="Calibri" w:hAnsi="Calibri" w:cs="Calibri"/>
        </w:rPr>
      </w:pPr>
      <w:r w:rsidRPr="00B04B79">
        <w:rPr>
          <w:rFonts w:ascii="Calibri" w:hAnsi="Calibri" w:cs="Calibri"/>
        </w:rPr>
        <w:t xml:space="preserve">Atkreiptinas dėmesys, kad </w:t>
      </w:r>
      <w:r>
        <w:rPr>
          <w:rFonts w:ascii="Calibri" w:hAnsi="Calibri" w:cs="Calibri"/>
        </w:rPr>
        <w:t>v</w:t>
      </w:r>
      <w:r w:rsidRPr="00B04B79">
        <w:rPr>
          <w:rFonts w:ascii="Calibri" w:hAnsi="Calibri" w:cs="Calibri"/>
        </w:rPr>
        <w:t xml:space="preserve">adovaujantis Aprašo 24.1 punktu, kuriame nurodoma, kad „išlaidos, patiriamos diegiant gamybos procesų energijos vartojimo efektyvumą didinančias ir taip prie energijos vartojimo ir ŠESD mažinimo prisidedančias technologijas pagal pareiškėjo nurodytą informaciją apie planuojamas įsigyti ir įdiegti technologijas“, laikytinos </w:t>
      </w:r>
      <w:r w:rsidRPr="00B04B79">
        <w:rPr>
          <w:rFonts w:ascii="Calibri" w:hAnsi="Calibri" w:cs="Calibri"/>
        </w:rPr>
        <w:lastRenderedPageBreak/>
        <w:t>tinkamomis, darytina išvada, kad energijos vartojimo ir ŠESD emisijų sutaupymas turi būti skaičiuojamas proceso lygiu. Tai reiškia, kad vertinamas konkretaus gamybos proceso efektyvumo padidėjimas diegiant naujas technologijas, o ne bendras įmonės ar visos gamyklos energijos suvartojimo pokytis.</w:t>
      </w:r>
      <w:r w:rsidR="005E5B4F" w:rsidRPr="00B04B79">
        <w:rPr>
          <w:rFonts w:ascii="Calibri" w:hAnsi="Calibri" w:cs="Calibri"/>
        </w:rPr>
        <w:t>;</w:t>
      </w:r>
    </w:p>
    <w:p w14:paraId="0EFB401F" w14:textId="77777777" w:rsidR="003B4267" w:rsidRPr="003B4267" w:rsidRDefault="003B4267" w:rsidP="003B4267">
      <w:pPr>
        <w:pStyle w:val="ListParagraph"/>
        <w:jc w:val="both"/>
        <w:rPr>
          <w:rFonts w:ascii="Calibri" w:hAnsi="Calibri" w:cs="Calibri"/>
        </w:rPr>
      </w:pPr>
    </w:p>
    <w:p w14:paraId="02CE056E" w14:textId="7A57149D" w:rsidR="005E5B4F" w:rsidRDefault="003B4267" w:rsidP="003B4267">
      <w:pPr>
        <w:pStyle w:val="ListParagraph"/>
        <w:numPr>
          <w:ilvl w:val="0"/>
          <w:numId w:val="2"/>
        </w:numPr>
        <w:jc w:val="both"/>
        <w:rPr>
          <w:rFonts w:ascii="Calibri" w:hAnsi="Calibri" w:cs="Calibri"/>
          <w:u w:val="single"/>
        </w:rPr>
      </w:pPr>
      <w:r w:rsidRPr="003B4267">
        <w:rPr>
          <w:rFonts w:ascii="Calibri" w:hAnsi="Calibri" w:cs="Calibri"/>
          <w:b/>
          <w:bCs/>
          <w:u w:val="single"/>
        </w:rPr>
        <w:t>KLAUSIMAS:</w:t>
      </w:r>
      <w:r w:rsidRPr="003B4267">
        <w:rPr>
          <w:rFonts w:ascii="Calibri" w:hAnsi="Calibri" w:cs="Calibri"/>
          <w:u w:val="single"/>
        </w:rPr>
        <w:t xml:space="preserve"> </w:t>
      </w:r>
      <w:r w:rsidR="005E5B4F" w:rsidRPr="003B4267">
        <w:rPr>
          <w:rFonts w:ascii="Calibri" w:hAnsi="Calibri" w:cs="Calibri"/>
          <w:u w:val="single"/>
        </w:rPr>
        <w:t>Aprašo 24.1 p. nurodytos išlaidos, patiriamos diegiant gamybos procesų energijos vartojimo efektyvumą didinančias ir taip prie energijos vartojimo ir ŠESD mažinimo prisidedančias technologijas pagal pareiškėjo nurodytą informaciją apie planuojamas įsigyti ir įdiegti technologijas. Ar šis sąrašas baigtinis, ar galimos ir kitos, didesnio efektyvumo, investicijos?</w:t>
      </w:r>
    </w:p>
    <w:p w14:paraId="0813796B" w14:textId="77777777" w:rsidR="003B4267" w:rsidRPr="003B4267" w:rsidRDefault="003B4267" w:rsidP="003B4267">
      <w:pPr>
        <w:pStyle w:val="ListParagraph"/>
        <w:jc w:val="both"/>
        <w:rPr>
          <w:rFonts w:ascii="Calibri" w:hAnsi="Calibri" w:cs="Calibri"/>
          <w:u w:val="single"/>
        </w:rPr>
      </w:pPr>
    </w:p>
    <w:p w14:paraId="4EE68317" w14:textId="0DC921E0" w:rsidR="005E5B4F" w:rsidRDefault="003B4267" w:rsidP="003B4267">
      <w:pPr>
        <w:pStyle w:val="ListParagraph"/>
        <w:jc w:val="both"/>
        <w:rPr>
          <w:rFonts w:ascii="Calibri" w:hAnsi="Calibri" w:cs="Calibri"/>
        </w:rPr>
      </w:pPr>
      <w:r w:rsidRPr="003B4267">
        <w:rPr>
          <w:rFonts w:ascii="Calibri" w:hAnsi="Calibri" w:cs="Calibri"/>
          <w:b/>
          <w:bCs/>
        </w:rPr>
        <w:t>ATSAKYMAS:</w:t>
      </w:r>
      <w:r w:rsidRPr="003B4267">
        <w:rPr>
          <w:rFonts w:ascii="Calibri" w:hAnsi="Calibri" w:cs="Calibri"/>
        </w:rPr>
        <w:t xml:space="preserve"> </w:t>
      </w:r>
      <w:r w:rsidR="005E5B4F" w:rsidRPr="003B4267">
        <w:rPr>
          <w:rFonts w:ascii="Calibri" w:hAnsi="Calibri" w:cs="Calibri"/>
        </w:rPr>
        <w:t>Investicijų sąrašas, nurodytas Aprašo 24.1 p., yra baigtinis, t. y. nesančios šiame sąraše investicijos pagal šią priemonę finansuojamos negali būti;</w:t>
      </w:r>
    </w:p>
    <w:p w14:paraId="36FA760A" w14:textId="77777777" w:rsidR="003B4267" w:rsidRPr="003B4267" w:rsidRDefault="003B4267" w:rsidP="003B4267">
      <w:pPr>
        <w:pStyle w:val="ListParagraph"/>
        <w:jc w:val="both"/>
        <w:rPr>
          <w:rFonts w:ascii="Calibri" w:hAnsi="Calibri" w:cs="Calibri"/>
        </w:rPr>
      </w:pPr>
    </w:p>
    <w:p w14:paraId="2686D8D9" w14:textId="79EE5CA2" w:rsidR="00795460" w:rsidRDefault="003B4267" w:rsidP="003B4267">
      <w:pPr>
        <w:pStyle w:val="ListParagraph"/>
        <w:numPr>
          <w:ilvl w:val="0"/>
          <w:numId w:val="2"/>
        </w:numPr>
        <w:jc w:val="both"/>
        <w:rPr>
          <w:rFonts w:ascii="Calibri" w:hAnsi="Calibri" w:cs="Calibri"/>
          <w:u w:val="single"/>
        </w:rPr>
      </w:pPr>
      <w:r w:rsidRPr="003B4267">
        <w:rPr>
          <w:rFonts w:ascii="Calibri" w:hAnsi="Calibri" w:cs="Calibri"/>
          <w:b/>
          <w:bCs/>
          <w:u w:val="single"/>
        </w:rPr>
        <w:t>KLAUSIMAS</w:t>
      </w:r>
      <w:r w:rsidRPr="003B4267">
        <w:rPr>
          <w:rFonts w:ascii="Calibri" w:hAnsi="Calibri" w:cs="Calibri"/>
          <w:u w:val="single"/>
        </w:rPr>
        <w:t xml:space="preserve">: </w:t>
      </w:r>
      <w:r w:rsidR="00795460" w:rsidRPr="003B4267">
        <w:rPr>
          <w:rFonts w:ascii="Calibri" w:hAnsi="Calibri" w:cs="Calibri"/>
          <w:u w:val="single"/>
        </w:rPr>
        <w:t>Ar šio kvietimo atveju tinkamos finansuoti Išlaidos gali būti patirtos iki projekto paraiškos pateikimo vertinti?</w:t>
      </w:r>
    </w:p>
    <w:p w14:paraId="2D757876" w14:textId="77777777" w:rsidR="003B4267" w:rsidRPr="003B4267" w:rsidRDefault="003B4267" w:rsidP="003B4267">
      <w:pPr>
        <w:pStyle w:val="ListParagraph"/>
        <w:jc w:val="both"/>
        <w:rPr>
          <w:rFonts w:ascii="Calibri" w:hAnsi="Calibri" w:cs="Calibri"/>
          <w:u w:val="single"/>
        </w:rPr>
      </w:pPr>
    </w:p>
    <w:p w14:paraId="4F595B4F" w14:textId="1882ED66" w:rsidR="00795460" w:rsidRPr="003B4267" w:rsidRDefault="003B4267" w:rsidP="003B4267">
      <w:pPr>
        <w:pStyle w:val="ListParagraph"/>
        <w:jc w:val="both"/>
        <w:rPr>
          <w:rFonts w:ascii="Calibri" w:hAnsi="Calibri" w:cs="Calibri"/>
        </w:rPr>
      </w:pPr>
      <w:r w:rsidRPr="003B4267">
        <w:rPr>
          <w:rFonts w:ascii="Calibri" w:hAnsi="Calibri" w:cs="Calibri"/>
          <w:b/>
          <w:bCs/>
        </w:rPr>
        <w:t>ATSAKYMAS:</w:t>
      </w:r>
      <w:r w:rsidRPr="003B4267">
        <w:rPr>
          <w:rFonts w:ascii="Calibri" w:hAnsi="Calibri" w:cs="Calibri"/>
        </w:rPr>
        <w:t xml:space="preserve"> </w:t>
      </w:r>
      <w:r w:rsidR="00795460" w:rsidRPr="003B4267">
        <w:rPr>
          <w:rFonts w:ascii="Calibri" w:hAnsi="Calibri" w:cs="Calibri"/>
        </w:rPr>
        <w:t>Aprašo 17 p. numatyta, kad  Projekto veiklų (darbų) pradžia suprantama taip, kaip ji apibrėžiama Reglamento 651/2014 2 straipsnio 23 punkte.  Reglamento 23 punktas teigia, kad darbų pradžia – su investicija susijusių statybos darbų pradžia arba pirmasis teisiškai privalomas įsipareigojimas užsakyti įrenginius, arba bet kuris kitas įsipareigojimas, dėl kurio investicija tampa neatšaukiama, žiūrint, kuris įvykis pirmesnis. Žemės pirkimas ir parengiamieji darbai, pvz., leidimų gavimas ir galimybių studijų vykdymas, darbų pradžia nelaikomi. Perėmimo atveju darbų pradžia laikomas momentas, kai įsigyjamas su įsigyta įmone tiesiogiai susijęs turtas.</w:t>
      </w:r>
    </w:p>
    <w:p w14:paraId="49EC87A5" w14:textId="77777777" w:rsidR="00795460" w:rsidRPr="003B4267" w:rsidRDefault="00795460" w:rsidP="003B4267">
      <w:pPr>
        <w:pStyle w:val="ListParagraph"/>
        <w:jc w:val="both"/>
        <w:rPr>
          <w:rFonts w:ascii="Calibri" w:hAnsi="Calibri" w:cs="Calibri"/>
        </w:rPr>
      </w:pPr>
      <w:r w:rsidRPr="003B4267">
        <w:rPr>
          <w:rFonts w:ascii="Calibri" w:hAnsi="Calibri" w:cs="Calibri"/>
        </w:rPr>
        <w:t xml:space="preserve">Apibendrinant teigiama, kad pagal Aprašo 17 punktą projekto veiklų (darbų) pradžia gali būti tik po to, kai pateikiama paraiška ir tik jei dar nebuvo pradėta jokia įsipareigojanti veikla, t. y. joks įsipareigojimas užsakyti įrangą, pasirašyti sutartis dėl rangos darbų ir pan. </w:t>
      </w:r>
    </w:p>
    <w:p w14:paraId="7B45E29C" w14:textId="1CD05D08" w:rsidR="00795460" w:rsidRDefault="00795460" w:rsidP="003B4267">
      <w:pPr>
        <w:pStyle w:val="ListParagraph"/>
        <w:jc w:val="both"/>
        <w:rPr>
          <w:rFonts w:ascii="Calibri" w:hAnsi="Calibri" w:cs="Calibri"/>
        </w:rPr>
      </w:pPr>
      <w:r w:rsidRPr="003B4267">
        <w:rPr>
          <w:rFonts w:ascii="Calibri" w:hAnsi="Calibri" w:cs="Calibri"/>
        </w:rPr>
        <w:t>Jei iki paraiškos pateikimo  pasirašyta rangos darbų sutartis,  užsakyta įranga su įpareigojimu ją įsigyti — tuomet projektas nebus tinkamas finansuoti, nes nebebus laikomas turinčiu skatinamąjį poveikį, kaip to reikalauja Reglamentas;</w:t>
      </w:r>
    </w:p>
    <w:p w14:paraId="6B63098D" w14:textId="77777777" w:rsidR="003B4267" w:rsidRPr="003B4267" w:rsidRDefault="003B4267" w:rsidP="003B4267">
      <w:pPr>
        <w:pStyle w:val="ListParagraph"/>
        <w:jc w:val="both"/>
        <w:rPr>
          <w:rFonts w:ascii="Calibri" w:hAnsi="Calibri" w:cs="Calibri"/>
        </w:rPr>
      </w:pPr>
    </w:p>
    <w:p w14:paraId="58AA7BF5" w14:textId="6E899B8C" w:rsidR="00795460" w:rsidRDefault="003B4267" w:rsidP="003B4267">
      <w:pPr>
        <w:pStyle w:val="ListParagraph"/>
        <w:numPr>
          <w:ilvl w:val="0"/>
          <w:numId w:val="2"/>
        </w:numPr>
        <w:jc w:val="both"/>
        <w:rPr>
          <w:rFonts w:ascii="Calibri" w:hAnsi="Calibri" w:cs="Calibri"/>
          <w:u w:val="single"/>
        </w:rPr>
      </w:pPr>
      <w:r w:rsidRPr="003B4267">
        <w:rPr>
          <w:rFonts w:ascii="Calibri" w:hAnsi="Calibri" w:cs="Calibri"/>
          <w:b/>
          <w:bCs/>
          <w:u w:val="single"/>
        </w:rPr>
        <w:t>KLAUSIMAS:</w:t>
      </w:r>
      <w:r w:rsidRPr="003B4267">
        <w:rPr>
          <w:rFonts w:ascii="Calibri" w:hAnsi="Calibri" w:cs="Calibri"/>
          <w:u w:val="single"/>
        </w:rPr>
        <w:t xml:space="preserve"> </w:t>
      </w:r>
      <w:r w:rsidR="00795460" w:rsidRPr="003B4267">
        <w:rPr>
          <w:rFonts w:ascii="Calibri" w:hAnsi="Calibri" w:cs="Calibri"/>
          <w:u w:val="single"/>
        </w:rPr>
        <w:t>Ar valstybinė įmonė gali pretenduoti gauti paramą pagal šią programą?</w:t>
      </w:r>
    </w:p>
    <w:p w14:paraId="2A914F36" w14:textId="77777777" w:rsidR="003B4267" w:rsidRPr="003B4267" w:rsidRDefault="003B4267" w:rsidP="003B4267">
      <w:pPr>
        <w:pStyle w:val="ListParagraph"/>
        <w:jc w:val="both"/>
        <w:rPr>
          <w:rFonts w:ascii="Calibri" w:hAnsi="Calibri" w:cs="Calibri"/>
          <w:u w:val="single"/>
        </w:rPr>
      </w:pPr>
    </w:p>
    <w:p w14:paraId="149A6AED" w14:textId="4F25072C" w:rsidR="00795460" w:rsidRDefault="003B4267" w:rsidP="003B4267">
      <w:pPr>
        <w:pStyle w:val="ListParagraph"/>
        <w:jc w:val="both"/>
        <w:rPr>
          <w:rFonts w:ascii="Calibri" w:hAnsi="Calibri" w:cs="Calibri"/>
        </w:rPr>
      </w:pPr>
      <w:r w:rsidRPr="003B4267">
        <w:rPr>
          <w:rFonts w:ascii="Calibri" w:hAnsi="Calibri" w:cs="Calibri"/>
          <w:b/>
          <w:bCs/>
        </w:rPr>
        <w:t>ATSAKYMAS:</w:t>
      </w:r>
      <w:r w:rsidRPr="003B4267">
        <w:rPr>
          <w:rFonts w:ascii="Calibri" w:hAnsi="Calibri" w:cs="Calibri"/>
        </w:rPr>
        <w:t xml:space="preserve"> </w:t>
      </w:r>
      <w:r w:rsidR="00795460" w:rsidRPr="003B4267">
        <w:rPr>
          <w:rFonts w:ascii="Calibri" w:hAnsi="Calibri" w:cs="Calibri"/>
        </w:rPr>
        <w:t>Taip, Valstybinės įmonės gali teikti Paraiškas pagal šia priemonę;</w:t>
      </w:r>
    </w:p>
    <w:p w14:paraId="2FED2511" w14:textId="77777777" w:rsidR="003B4267" w:rsidRPr="003B4267" w:rsidRDefault="003B4267" w:rsidP="003B4267">
      <w:pPr>
        <w:pStyle w:val="ListParagraph"/>
        <w:jc w:val="both"/>
        <w:rPr>
          <w:rFonts w:ascii="Calibri" w:hAnsi="Calibri" w:cs="Calibri"/>
        </w:rPr>
      </w:pPr>
    </w:p>
    <w:p w14:paraId="15FFC99B" w14:textId="37B3D717" w:rsidR="00A96DC8" w:rsidRDefault="003B4267" w:rsidP="003B4267">
      <w:pPr>
        <w:pStyle w:val="ListParagraph"/>
        <w:numPr>
          <w:ilvl w:val="0"/>
          <w:numId w:val="2"/>
        </w:numPr>
        <w:jc w:val="both"/>
        <w:rPr>
          <w:rFonts w:ascii="Calibri" w:hAnsi="Calibri" w:cs="Calibri"/>
          <w:u w:val="single"/>
        </w:rPr>
      </w:pPr>
      <w:r w:rsidRPr="003B4267">
        <w:rPr>
          <w:rFonts w:ascii="Calibri" w:hAnsi="Calibri" w:cs="Calibri"/>
          <w:b/>
          <w:bCs/>
          <w:u w:val="single"/>
        </w:rPr>
        <w:t>KLAUSIMAS</w:t>
      </w:r>
      <w:r w:rsidRPr="003B4267">
        <w:rPr>
          <w:rFonts w:ascii="Calibri" w:hAnsi="Calibri" w:cs="Calibri"/>
          <w:u w:val="single"/>
        </w:rPr>
        <w:t xml:space="preserve">: </w:t>
      </w:r>
      <w:r w:rsidR="00A96DC8" w:rsidRPr="003B4267">
        <w:rPr>
          <w:rFonts w:ascii="Calibri" w:hAnsi="Calibri" w:cs="Calibri"/>
          <w:u w:val="single"/>
        </w:rPr>
        <w:t>Ar</w:t>
      </w:r>
      <w:r w:rsidR="000D0CF8" w:rsidRPr="003B4267">
        <w:rPr>
          <w:rFonts w:ascii="Calibri" w:hAnsi="Calibri" w:cs="Calibri"/>
          <w:u w:val="single"/>
        </w:rPr>
        <w:t xml:space="preserve"> Aprašas numato galimybę</w:t>
      </w:r>
      <w:r w:rsidR="00A96DC8" w:rsidRPr="003B4267">
        <w:rPr>
          <w:rFonts w:ascii="Calibri" w:hAnsi="Calibri" w:cs="Calibri"/>
          <w:u w:val="single"/>
        </w:rPr>
        <w:t xml:space="preserve"> teikti </w:t>
      </w:r>
      <w:r w:rsidR="000D0CF8" w:rsidRPr="003B4267">
        <w:rPr>
          <w:rFonts w:ascii="Calibri" w:hAnsi="Calibri" w:cs="Calibri"/>
          <w:u w:val="single"/>
        </w:rPr>
        <w:t xml:space="preserve">avansinį ir </w:t>
      </w:r>
      <w:r w:rsidR="00A96DC8" w:rsidRPr="003B4267">
        <w:rPr>
          <w:rFonts w:ascii="Calibri" w:hAnsi="Calibri" w:cs="Calibri"/>
          <w:u w:val="single"/>
        </w:rPr>
        <w:t>tarpinius mokėjimo prašymus?</w:t>
      </w:r>
    </w:p>
    <w:p w14:paraId="4608BCE8" w14:textId="77777777" w:rsidR="003B4267" w:rsidRPr="003B4267" w:rsidRDefault="003B4267" w:rsidP="003B4267">
      <w:pPr>
        <w:pStyle w:val="ListParagraph"/>
        <w:jc w:val="both"/>
        <w:rPr>
          <w:rFonts w:ascii="Calibri" w:hAnsi="Calibri" w:cs="Calibri"/>
          <w:u w:val="single"/>
        </w:rPr>
      </w:pPr>
    </w:p>
    <w:p w14:paraId="09BC94AF" w14:textId="5843DEE1" w:rsidR="000D0CF8" w:rsidRPr="003B4267" w:rsidRDefault="003B4267" w:rsidP="003B4267">
      <w:pPr>
        <w:pStyle w:val="ListParagraph"/>
        <w:jc w:val="both"/>
        <w:rPr>
          <w:rFonts w:ascii="Calibri" w:hAnsi="Calibri" w:cs="Calibri"/>
        </w:rPr>
      </w:pPr>
      <w:r w:rsidRPr="003B4267">
        <w:rPr>
          <w:rFonts w:ascii="Calibri" w:hAnsi="Calibri" w:cs="Calibri"/>
          <w:b/>
          <w:bCs/>
        </w:rPr>
        <w:t>ATSAKYMAS</w:t>
      </w:r>
      <w:r w:rsidRPr="003B4267">
        <w:rPr>
          <w:rFonts w:ascii="Calibri" w:hAnsi="Calibri" w:cs="Calibri"/>
        </w:rPr>
        <w:t>: T</w:t>
      </w:r>
      <w:r w:rsidR="000D0CF8" w:rsidRPr="003B4267">
        <w:rPr>
          <w:rFonts w:ascii="Calibri" w:hAnsi="Calibri" w:cs="Calibri"/>
        </w:rPr>
        <w:t>aip, galimi abu:</w:t>
      </w:r>
    </w:p>
    <w:p w14:paraId="402D4324" w14:textId="77777777" w:rsidR="000D0CF8" w:rsidRPr="003B4267" w:rsidRDefault="000D0CF8" w:rsidP="003B4267">
      <w:pPr>
        <w:pStyle w:val="ListParagraph"/>
        <w:numPr>
          <w:ilvl w:val="0"/>
          <w:numId w:val="3"/>
        </w:numPr>
        <w:jc w:val="both"/>
        <w:rPr>
          <w:rFonts w:ascii="Calibri" w:hAnsi="Calibri" w:cs="Calibri"/>
        </w:rPr>
      </w:pPr>
      <w:r w:rsidRPr="003B4267">
        <w:rPr>
          <w:rFonts w:ascii="Calibri" w:hAnsi="Calibri" w:cs="Calibri"/>
        </w:rPr>
        <w:t>Avansinis mokėjimas – iki 30 % subsidijos, gavus garantiją ar laidavimą (išskyrus biudžetines/viešąsias įstaigas).</w:t>
      </w:r>
    </w:p>
    <w:p w14:paraId="4B366595" w14:textId="6D611346" w:rsidR="000D0CF8" w:rsidRPr="003B4267" w:rsidRDefault="000D0CF8" w:rsidP="003B4267">
      <w:pPr>
        <w:pStyle w:val="ListParagraph"/>
        <w:numPr>
          <w:ilvl w:val="0"/>
          <w:numId w:val="3"/>
        </w:numPr>
        <w:jc w:val="both"/>
        <w:rPr>
          <w:rFonts w:ascii="Calibri" w:hAnsi="Calibri" w:cs="Calibri"/>
        </w:rPr>
      </w:pPr>
      <w:r w:rsidRPr="003B4267">
        <w:rPr>
          <w:rFonts w:ascii="Calibri" w:hAnsi="Calibri" w:cs="Calibri"/>
        </w:rPr>
        <w:lastRenderedPageBreak/>
        <w:t>Tarpiniai mokėjimai – teikiami kompensavimo būdu, kai pareiškėjas jau apmokėjo išlaidas ir pateikia tai pagrindžiančius dokumentus.</w:t>
      </w:r>
    </w:p>
    <w:p w14:paraId="027D8225" w14:textId="6EAF44F1" w:rsidR="000D0CF8" w:rsidRDefault="000D0CF8" w:rsidP="003B4267">
      <w:pPr>
        <w:pStyle w:val="ListParagraph"/>
        <w:jc w:val="both"/>
        <w:rPr>
          <w:rFonts w:ascii="Calibri" w:hAnsi="Calibri" w:cs="Calibri"/>
        </w:rPr>
      </w:pPr>
      <w:r w:rsidRPr="003B4267">
        <w:rPr>
          <w:rFonts w:ascii="Calibri" w:hAnsi="Calibri" w:cs="Calibri"/>
        </w:rPr>
        <w:t>Avansas išskaičiuojamas iš vėlesnių mokėjimų;</w:t>
      </w:r>
    </w:p>
    <w:p w14:paraId="314F2EA3" w14:textId="77777777" w:rsidR="003B4267" w:rsidRPr="003B4267" w:rsidRDefault="003B4267" w:rsidP="003B4267">
      <w:pPr>
        <w:pStyle w:val="ListParagraph"/>
        <w:jc w:val="both"/>
        <w:rPr>
          <w:rFonts w:ascii="Calibri" w:hAnsi="Calibri" w:cs="Calibri"/>
        </w:rPr>
      </w:pPr>
    </w:p>
    <w:p w14:paraId="4B489717" w14:textId="5629999E" w:rsidR="000D0CF8" w:rsidRDefault="003B4267" w:rsidP="003B4267">
      <w:pPr>
        <w:pStyle w:val="ListParagraph"/>
        <w:numPr>
          <w:ilvl w:val="0"/>
          <w:numId w:val="2"/>
        </w:numPr>
        <w:jc w:val="both"/>
        <w:rPr>
          <w:rFonts w:ascii="Calibri" w:hAnsi="Calibri" w:cs="Calibri"/>
          <w:u w:val="single"/>
        </w:rPr>
      </w:pPr>
      <w:r w:rsidRPr="003B4267">
        <w:rPr>
          <w:rFonts w:ascii="Calibri" w:hAnsi="Calibri" w:cs="Calibri"/>
          <w:b/>
          <w:bCs/>
          <w:u w:val="single"/>
        </w:rPr>
        <w:t>KLAUSIMAS:</w:t>
      </w:r>
      <w:r w:rsidRPr="003B4267">
        <w:rPr>
          <w:rFonts w:ascii="Calibri" w:hAnsi="Calibri" w:cs="Calibri"/>
          <w:u w:val="single"/>
        </w:rPr>
        <w:t xml:space="preserve"> </w:t>
      </w:r>
      <w:r w:rsidR="000D0CF8" w:rsidRPr="003B4267">
        <w:rPr>
          <w:rFonts w:ascii="Calibri" w:hAnsi="Calibri" w:cs="Calibri"/>
          <w:u w:val="single"/>
        </w:rPr>
        <w:t>Ar gali būti projektas įgyvendinamas nuomos pagrindais valdomose patalpose?</w:t>
      </w:r>
    </w:p>
    <w:p w14:paraId="126D48BF" w14:textId="77777777" w:rsidR="003B4267" w:rsidRPr="003B4267" w:rsidRDefault="003B4267" w:rsidP="003B4267">
      <w:pPr>
        <w:pStyle w:val="ListParagraph"/>
        <w:jc w:val="both"/>
        <w:rPr>
          <w:rFonts w:ascii="Calibri" w:hAnsi="Calibri" w:cs="Calibri"/>
          <w:u w:val="single"/>
        </w:rPr>
      </w:pPr>
    </w:p>
    <w:p w14:paraId="715E52AC" w14:textId="71B2834B" w:rsidR="000D0CF8" w:rsidRDefault="003B4267" w:rsidP="003B4267">
      <w:pPr>
        <w:pStyle w:val="ListParagraph"/>
        <w:jc w:val="both"/>
        <w:rPr>
          <w:rFonts w:ascii="Calibri" w:hAnsi="Calibri" w:cs="Calibri"/>
        </w:rPr>
      </w:pPr>
      <w:r w:rsidRPr="003B4267">
        <w:rPr>
          <w:rFonts w:ascii="Calibri" w:hAnsi="Calibri" w:cs="Calibri"/>
          <w:b/>
          <w:bCs/>
        </w:rPr>
        <w:t>ATSAKYMAS:</w:t>
      </w:r>
      <w:r w:rsidRPr="003B4267">
        <w:rPr>
          <w:rFonts w:ascii="Calibri" w:hAnsi="Calibri" w:cs="Calibri"/>
        </w:rPr>
        <w:t xml:space="preserve"> </w:t>
      </w:r>
      <w:r w:rsidR="000D0CF8" w:rsidRPr="003B4267">
        <w:rPr>
          <w:rFonts w:ascii="Calibri" w:hAnsi="Calibri" w:cs="Calibri"/>
        </w:rPr>
        <w:t xml:space="preserve">Nuomos pagrindas patalpoms – galimas.  Aprašo 18.6 punkte aiškiai nurodoma, kad projektas gali būti įgyvendinamas pastate ar ant žemės sklypo, kurie priklauso pareiškėjui nuosavybės teise arba yra valdomi pagal nuomos sutartį. Tad nuomojamose patalpose </w:t>
      </w:r>
      <w:r w:rsidR="009C34F4">
        <w:rPr>
          <w:rFonts w:ascii="Calibri" w:hAnsi="Calibri" w:cs="Calibri"/>
        </w:rPr>
        <w:t xml:space="preserve">įgyvendinti </w:t>
      </w:r>
      <w:r w:rsidR="000D0CF8" w:rsidRPr="003B4267">
        <w:rPr>
          <w:rFonts w:ascii="Calibri" w:hAnsi="Calibri" w:cs="Calibri"/>
        </w:rPr>
        <w:t>projekt</w:t>
      </w:r>
      <w:r w:rsidR="009C34F4">
        <w:rPr>
          <w:rFonts w:ascii="Calibri" w:hAnsi="Calibri" w:cs="Calibri"/>
        </w:rPr>
        <w:t>ą</w:t>
      </w:r>
      <w:r w:rsidR="000D0CF8" w:rsidRPr="003B4267">
        <w:rPr>
          <w:rFonts w:ascii="Calibri" w:hAnsi="Calibri" w:cs="Calibri"/>
        </w:rPr>
        <w:t xml:space="preserve"> </w:t>
      </w:r>
      <w:r w:rsidR="009C34F4">
        <w:rPr>
          <w:rFonts w:ascii="Calibri" w:hAnsi="Calibri" w:cs="Calibri"/>
        </w:rPr>
        <w:t>yra le</w:t>
      </w:r>
      <w:r w:rsidR="000D0CF8" w:rsidRPr="003B4267">
        <w:rPr>
          <w:rFonts w:ascii="Calibri" w:hAnsi="Calibri" w:cs="Calibri"/>
        </w:rPr>
        <w:t>idžiama.</w:t>
      </w:r>
    </w:p>
    <w:p w14:paraId="1AA82E62" w14:textId="77777777" w:rsidR="00B04B79" w:rsidRDefault="00B04B79" w:rsidP="003B4267">
      <w:pPr>
        <w:pStyle w:val="ListParagraph"/>
        <w:jc w:val="both"/>
        <w:rPr>
          <w:rFonts w:ascii="Calibri" w:hAnsi="Calibri" w:cs="Calibri"/>
        </w:rPr>
      </w:pPr>
    </w:p>
    <w:p w14:paraId="1337C873" w14:textId="77094DA1" w:rsidR="00B04B79" w:rsidRDefault="00B04B79" w:rsidP="00B04B79">
      <w:pPr>
        <w:pStyle w:val="ListParagraph"/>
        <w:numPr>
          <w:ilvl w:val="0"/>
          <w:numId w:val="2"/>
        </w:numPr>
        <w:jc w:val="both"/>
        <w:rPr>
          <w:rFonts w:ascii="Calibri" w:hAnsi="Calibri" w:cs="Calibri"/>
          <w:u w:val="single"/>
        </w:rPr>
      </w:pPr>
      <w:r w:rsidRPr="00B04B79">
        <w:rPr>
          <w:rFonts w:ascii="Calibri" w:hAnsi="Calibri" w:cs="Calibri"/>
          <w:b/>
          <w:bCs/>
          <w:u w:val="single"/>
        </w:rPr>
        <w:t>KLAUSIMAS:</w:t>
      </w:r>
      <w:r w:rsidRPr="00B04B79">
        <w:rPr>
          <w:rFonts w:ascii="Calibri" w:hAnsi="Calibri" w:cs="Calibri"/>
          <w:u w:val="single"/>
        </w:rPr>
        <w:t xml:space="preserve"> Kiek komercinių reikia pateikti, jeigu planuojama įsigyti vieną įrenginį?</w:t>
      </w:r>
      <w:r>
        <w:rPr>
          <w:rFonts w:ascii="Calibri" w:hAnsi="Calibri" w:cs="Calibri"/>
          <w:u w:val="single"/>
        </w:rPr>
        <w:t xml:space="preserve"> </w:t>
      </w:r>
    </w:p>
    <w:p w14:paraId="37BD6BD0" w14:textId="77777777" w:rsidR="00B04B79" w:rsidRDefault="00B04B79" w:rsidP="00B04B79">
      <w:pPr>
        <w:pStyle w:val="ListParagraph"/>
        <w:jc w:val="both"/>
        <w:rPr>
          <w:rFonts w:ascii="Calibri" w:hAnsi="Calibri" w:cs="Calibri"/>
          <w:b/>
          <w:bCs/>
          <w:u w:val="single"/>
        </w:rPr>
      </w:pPr>
    </w:p>
    <w:p w14:paraId="739E7471" w14:textId="491FC8DB" w:rsidR="00B04B79" w:rsidRDefault="00B04B79" w:rsidP="00B04B79">
      <w:pPr>
        <w:pStyle w:val="ListParagraph"/>
        <w:jc w:val="both"/>
        <w:rPr>
          <w:rFonts w:ascii="Calibri" w:hAnsi="Calibri" w:cs="Calibri"/>
        </w:rPr>
      </w:pPr>
      <w:r>
        <w:rPr>
          <w:rFonts w:ascii="Calibri" w:hAnsi="Calibri" w:cs="Calibri"/>
          <w:b/>
          <w:bCs/>
          <w:u w:val="single"/>
        </w:rPr>
        <w:t xml:space="preserve">ATSAKYMAS: </w:t>
      </w:r>
      <w:r w:rsidRPr="00B04B79">
        <w:rPr>
          <w:rFonts w:ascii="Calibri" w:hAnsi="Calibri" w:cs="Calibri"/>
        </w:rPr>
        <w:t xml:space="preserve">Užtenka </w:t>
      </w:r>
      <w:r>
        <w:rPr>
          <w:rFonts w:ascii="Calibri" w:hAnsi="Calibri" w:cs="Calibri"/>
        </w:rPr>
        <w:t xml:space="preserve">jūsų planuojamai įrangai įsigyti pateikti </w:t>
      </w:r>
      <w:r w:rsidRPr="00B04B79">
        <w:rPr>
          <w:rFonts w:ascii="Calibri" w:hAnsi="Calibri" w:cs="Calibri"/>
        </w:rPr>
        <w:t xml:space="preserve">po vieną komercinį pasiūlymą  - </w:t>
      </w:r>
      <w:r>
        <w:rPr>
          <w:rFonts w:ascii="Calibri" w:hAnsi="Calibri" w:cs="Calibri"/>
        </w:rPr>
        <w:t xml:space="preserve">investicijai, kurią </w:t>
      </w:r>
      <w:r w:rsidRPr="00B04B79">
        <w:rPr>
          <w:rFonts w:ascii="Calibri" w:hAnsi="Calibri" w:cs="Calibri"/>
        </w:rPr>
        <w:t>ketinate įsigyti už paramos lėšas ir alternatyv</w:t>
      </w:r>
      <w:r>
        <w:rPr>
          <w:rFonts w:ascii="Calibri" w:hAnsi="Calibri" w:cs="Calibri"/>
        </w:rPr>
        <w:t>ai</w:t>
      </w:r>
      <w:r w:rsidRPr="00B04B79">
        <w:rPr>
          <w:rFonts w:ascii="Calibri" w:hAnsi="Calibri" w:cs="Calibri"/>
        </w:rPr>
        <w:t>, kur</w:t>
      </w:r>
      <w:r>
        <w:rPr>
          <w:rFonts w:ascii="Calibri" w:hAnsi="Calibri" w:cs="Calibri"/>
        </w:rPr>
        <w:t>ią</w:t>
      </w:r>
      <w:r w:rsidRPr="00B04B79">
        <w:rPr>
          <w:rFonts w:ascii="Calibri" w:hAnsi="Calibri" w:cs="Calibri"/>
        </w:rPr>
        <w:t xml:space="preserve"> galėtumėte įsigyti be skiriamos paramos.</w:t>
      </w:r>
    </w:p>
    <w:p w14:paraId="597DAF90" w14:textId="77777777" w:rsidR="00B04B79" w:rsidRDefault="00B04B79" w:rsidP="00B04B79">
      <w:pPr>
        <w:pStyle w:val="ListParagraph"/>
        <w:jc w:val="both"/>
        <w:rPr>
          <w:rFonts w:ascii="Calibri" w:hAnsi="Calibri" w:cs="Calibri"/>
        </w:rPr>
      </w:pPr>
    </w:p>
    <w:p w14:paraId="349006E6" w14:textId="7842FB06" w:rsidR="00B04B79" w:rsidRPr="00E779A5" w:rsidRDefault="00B04B79" w:rsidP="00B04B79">
      <w:pPr>
        <w:pStyle w:val="ListParagraph"/>
        <w:numPr>
          <w:ilvl w:val="0"/>
          <w:numId w:val="2"/>
        </w:numPr>
        <w:jc w:val="both"/>
        <w:rPr>
          <w:rFonts w:ascii="Calibri" w:hAnsi="Calibri" w:cs="Calibri"/>
          <w:u w:val="single"/>
        </w:rPr>
      </w:pPr>
      <w:r w:rsidRPr="00E779A5">
        <w:rPr>
          <w:rFonts w:ascii="Calibri" w:hAnsi="Calibri" w:cs="Calibri"/>
          <w:b/>
          <w:bCs/>
          <w:u w:val="single"/>
        </w:rPr>
        <w:t>KLAUSIMAS:</w:t>
      </w:r>
      <w:r w:rsidRPr="00E779A5">
        <w:rPr>
          <w:rFonts w:ascii="Calibri" w:hAnsi="Calibri" w:cs="Calibri"/>
          <w:u w:val="single"/>
        </w:rPr>
        <w:t xml:space="preserve"> Ar paramos suma (50-30 proc., priklausomai nuo įmonės dydžio) </w:t>
      </w:r>
      <w:r w:rsidR="00E779A5" w:rsidRPr="00E779A5">
        <w:rPr>
          <w:rFonts w:ascii="Calibri" w:hAnsi="Calibri" w:cs="Calibri"/>
          <w:u w:val="single"/>
        </w:rPr>
        <w:t xml:space="preserve">turi būti </w:t>
      </w:r>
      <w:r w:rsidRPr="00E779A5">
        <w:rPr>
          <w:rFonts w:ascii="Calibri" w:hAnsi="Calibri" w:cs="Calibri"/>
          <w:u w:val="single"/>
        </w:rPr>
        <w:t xml:space="preserve">skaičiuojama tik nuo skirtumo tarp ketinamos įsigyti investicijos ir </w:t>
      </w:r>
      <w:r w:rsidR="00E779A5" w:rsidRPr="00E779A5">
        <w:rPr>
          <w:rFonts w:ascii="Calibri" w:hAnsi="Calibri" w:cs="Calibri"/>
          <w:u w:val="single"/>
        </w:rPr>
        <w:t>alternatyvaus pasiūlymo?</w:t>
      </w:r>
    </w:p>
    <w:p w14:paraId="6A0A57A6" w14:textId="77777777" w:rsidR="00E779A5" w:rsidRDefault="00E779A5" w:rsidP="00E779A5">
      <w:pPr>
        <w:pStyle w:val="ListParagraph"/>
        <w:jc w:val="both"/>
        <w:rPr>
          <w:rFonts w:ascii="Calibri" w:hAnsi="Calibri" w:cs="Calibri"/>
        </w:rPr>
      </w:pPr>
    </w:p>
    <w:p w14:paraId="649E7A58" w14:textId="4EF49327" w:rsidR="00E779A5" w:rsidRDefault="00E779A5" w:rsidP="00E779A5">
      <w:pPr>
        <w:pStyle w:val="ListParagraph"/>
        <w:jc w:val="both"/>
        <w:rPr>
          <w:rFonts w:ascii="Calibri" w:hAnsi="Calibri" w:cs="Calibri"/>
        </w:rPr>
      </w:pPr>
      <w:r w:rsidRPr="00E779A5">
        <w:rPr>
          <w:rFonts w:ascii="Calibri" w:hAnsi="Calibri" w:cs="Calibri"/>
          <w:b/>
          <w:bCs/>
        </w:rPr>
        <w:t>ATSAKYMAS:</w:t>
      </w:r>
      <w:r>
        <w:rPr>
          <w:rFonts w:ascii="Calibri" w:hAnsi="Calibri" w:cs="Calibri"/>
        </w:rPr>
        <w:t xml:space="preserve"> Taip</w:t>
      </w:r>
      <w:r w:rsidRPr="00E779A5">
        <w:rPr>
          <w:rFonts w:ascii="Calibri" w:hAnsi="Calibri" w:cs="Calibri"/>
        </w:rPr>
        <w:t>, procentas (nustatomas pagal įmonės dydį) skaičiuojamas nuo skirtumo tarp pagrindinio pasiūlymo ir alternatyvaus pasiūlymo.</w:t>
      </w:r>
    </w:p>
    <w:p w14:paraId="05B3177A" w14:textId="77777777" w:rsidR="00E779A5" w:rsidRDefault="00E779A5" w:rsidP="00E779A5">
      <w:pPr>
        <w:pStyle w:val="ListParagraph"/>
        <w:jc w:val="both"/>
        <w:rPr>
          <w:rFonts w:ascii="Calibri" w:hAnsi="Calibri" w:cs="Calibri"/>
        </w:rPr>
      </w:pPr>
    </w:p>
    <w:p w14:paraId="6A495624" w14:textId="38F36D27" w:rsidR="00E779A5" w:rsidRPr="008F7239" w:rsidRDefault="008F7239" w:rsidP="00E779A5">
      <w:pPr>
        <w:pStyle w:val="ListParagraph"/>
        <w:numPr>
          <w:ilvl w:val="0"/>
          <w:numId w:val="2"/>
        </w:numPr>
        <w:jc w:val="both"/>
        <w:rPr>
          <w:rFonts w:ascii="Calibri" w:hAnsi="Calibri" w:cs="Calibri"/>
          <w:u w:val="single"/>
        </w:rPr>
      </w:pPr>
      <w:r w:rsidRPr="008F7239">
        <w:rPr>
          <w:rFonts w:ascii="Calibri" w:hAnsi="Calibri" w:cs="Calibri"/>
          <w:b/>
          <w:bCs/>
          <w:u w:val="single"/>
        </w:rPr>
        <w:t>KLAUSIMAS:</w:t>
      </w:r>
      <w:r>
        <w:rPr>
          <w:rFonts w:ascii="Calibri" w:hAnsi="Calibri" w:cs="Calibri"/>
          <w:u w:val="single"/>
        </w:rPr>
        <w:t xml:space="preserve"> </w:t>
      </w:r>
      <w:r w:rsidR="00E779A5" w:rsidRPr="008F7239">
        <w:rPr>
          <w:rFonts w:ascii="Calibri" w:hAnsi="Calibri" w:cs="Calibri"/>
          <w:u w:val="single"/>
        </w:rPr>
        <w:t>Ar yra reikalavimas, kokio senumo auditas, t. y. prieš kiek laiko atliktas, gali būti teikiamas su Paraišką?</w:t>
      </w:r>
    </w:p>
    <w:p w14:paraId="0470D78C" w14:textId="77777777" w:rsidR="00E779A5" w:rsidRDefault="00E779A5" w:rsidP="00E779A5">
      <w:pPr>
        <w:pStyle w:val="ListParagraph"/>
        <w:jc w:val="both"/>
        <w:rPr>
          <w:rFonts w:ascii="Calibri" w:hAnsi="Calibri" w:cs="Calibri"/>
        </w:rPr>
      </w:pPr>
    </w:p>
    <w:p w14:paraId="28DCECAB" w14:textId="3ECA10E6" w:rsidR="00E779A5" w:rsidRDefault="008F7239" w:rsidP="00E779A5">
      <w:pPr>
        <w:pStyle w:val="ListParagraph"/>
        <w:jc w:val="both"/>
        <w:rPr>
          <w:rFonts w:ascii="Calibri" w:hAnsi="Calibri" w:cs="Calibri"/>
        </w:rPr>
      </w:pPr>
      <w:r w:rsidRPr="008F7239">
        <w:rPr>
          <w:rFonts w:ascii="Calibri" w:hAnsi="Calibri" w:cs="Calibri"/>
          <w:b/>
          <w:bCs/>
        </w:rPr>
        <w:t>ATSAKYMAS:</w:t>
      </w:r>
      <w:r>
        <w:rPr>
          <w:rFonts w:ascii="Calibri" w:hAnsi="Calibri" w:cs="Calibri"/>
        </w:rPr>
        <w:t xml:space="preserve"> </w:t>
      </w:r>
      <w:r w:rsidR="00E779A5">
        <w:rPr>
          <w:rFonts w:ascii="Calibri" w:hAnsi="Calibri" w:cs="Calibri"/>
        </w:rPr>
        <w:t xml:space="preserve">Apraše audito atlikimo laikas nereglamentuojamas. Tik norėtume atkreipti dėmesį, </w:t>
      </w:r>
      <w:r>
        <w:rPr>
          <w:rFonts w:ascii="Calibri" w:hAnsi="Calibri" w:cs="Calibri"/>
        </w:rPr>
        <w:t>j</w:t>
      </w:r>
      <w:r w:rsidR="00E779A5" w:rsidRPr="00E779A5">
        <w:rPr>
          <w:rFonts w:ascii="Calibri" w:hAnsi="Calibri" w:cs="Calibri"/>
        </w:rPr>
        <w:t xml:space="preserve">eigu energijos vartojimo auditas buvo atliktas </w:t>
      </w:r>
      <w:r>
        <w:rPr>
          <w:rFonts w:ascii="Calibri" w:hAnsi="Calibri" w:cs="Calibri"/>
        </w:rPr>
        <w:t>seniau</w:t>
      </w:r>
      <w:r w:rsidR="00E779A5" w:rsidRPr="00E779A5">
        <w:rPr>
          <w:rFonts w:ascii="Calibri" w:hAnsi="Calibri" w:cs="Calibri"/>
        </w:rPr>
        <w:t xml:space="preserve">, tuomet jo metu surinkti ir analizuoti duomenys gali nebeatspindėti dabartinės situacijos, todėl jų aktualumas šiai dienai </w:t>
      </w:r>
      <w:r>
        <w:rPr>
          <w:rFonts w:ascii="Calibri" w:hAnsi="Calibri" w:cs="Calibri"/>
        </w:rPr>
        <w:t>gali būti</w:t>
      </w:r>
      <w:r w:rsidR="00E779A5" w:rsidRPr="00E779A5">
        <w:rPr>
          <w:rFonts w:ascii="Calibri" w:hAnsi="Calibri" w:cs="Calibri"/>
        </w:rPr>
        <w:t xml:space="preserve"> ribotas.</w:t>
      </w:r>
    </w:p>
    <w:p w14:paraId="7708D27A" w14:textId="77777777" w:rsidR="008F7239" w:rsidRDefault="008F7239" w:rsidP="00E779A5">
      <w:pPr>
        <w:pStyle w:val="ListParagraph"/>
        <w:jc w:val="both"/>
        <w:rPr>
          <w:rFonts w:ascii="Calibri" w:hAnsi="Calibri" w:cs="Calibri"/>
        </w:rPr>
      </w:pPr>
    </w:p>
    <w:p w14:paraId="3E451189" w14:textId="68C0A71A" w:rsidR="008F7239" w:rsidRPr="00D93922" w:rsidRDefault="00D93922" w:rsidP="008F7239">
      <w:pPr>
        <w:pStyle w:val="ListParagraph"/>
        <w:numPr>
          <w:ilvl w:val="0"/>
          <w:numId w:val="2"/>
        </w:numPr>
        <w:jc w:val="both"/>
        <w:rPr>
          <w:rFonts w:ascii="Calibri" w:hAnsi="Calibri" w:cs="Calibri"/>
          <w:u w:val="single"/>
        </w:rPr>
      </w:pPr>
      <w:r w:rsidRPr="00D93922">
        <w:rPr>
          <w:rFonts w:ascii="Calibri" w:hAnsi="Calibri" w:cs="Calibri"/>
          <w:b/>
          <w:bCs/>
          <w:u w:val="single"/>
        </w:rPr>
        <w:t>KLAUSIMAS:</w:t>
      </w:r>
      <w:r>
        <w:rPr>
          <w:rFonts w:ascii="Calibri" w:hAnsi="Calibri" w:cs="Calibri"/>
          <w:u w:val="single"/>
        </w:rPr>
        <w:t xml:space="preserve"> </w:t>
      </w:r>
      <w:r w:rsidR="008F7239" w:rsidRPr="00D93922">
        <w:rPr>
          <w:rFonts w:ascii="Calibri" w:hAnsi="Calibri" w:cs="Calibri"/>
          <w:u w:val="single"/>
        </w:rPr>
        <w:t>Ar gali teikti paraišką įmonė, jei tik viena iš jos vykdomų veiklų yra priskiriama Valstybės duomenų agentūros generalinio direktoriaus  įsakymu tvirtinamo Ekonominės veiklos rūšių klasifikatoriaus  (toliau – EVRK) 2.1 red. C sekcijai „Apdirbamoji gamyba“?</w:t>
      </w:r>
    </w:p>
    <w:p w14:paraId="16D0873E" w14:textId="77777777" w:rsidR="008F7239" w:rsidRDefault="008F7239" w:rsidP="008F7239">
      <w:pPr>
        <w:pStyle w:val="ListParagraph"/>
        <w:jc w:val="both"/>
        <w:rPr>
          <w:rFonts w:ascii="Calibri" w:hAnsi="Calibri" w:cs="Calibri"/>
        </w:rPr>
      </w:pPr>
    </w:p>
    <w:p w14:paraId="4B5F9F77" w14:textId="4314B0DD" w:rsidR="008F7239" w:rsidRDefault="00D93922" w:rsidP="008F7239">
      <w:pPr>
        <w:pStyle w:val="ListParagraph"/>
        <w:jc w:val="both"/>
        <w:rPr>
          <w:rFonts w:ascii="Calibri" w:hAnsi="Calibri" w:cs="Calibri"/>
        </w:rPr>
      </w:pPr>
      <w:r w:rsidRPr="00D93922">
        <w:rPr>
          <w:rFonts w:ascii="Calibri" w:hAnsi="Calibri" w:cs="Calibri"/>
          <w:b/>
          <w:bCs/>
        </w:rPr>
        <w:t>ATSAKYMAS:</w:t>
      </w:r>
      <w:r>
        <w:rPr>
          <w:rFonts w:ascii="Calibri" w:hAnsi="Calibri" w:cs="Calibri"/>
        </w:rPr>
        <w:t xml:space="preserve"> </w:t>
      </w:r>
      <w:r w:rsidR="008F7239">
        <w:rPr>
          <w:rFonts w:ascii="Calibri" w:hAnsi="Calibri" w:cs="Calibri"/>
        </w:rPr>
        <w:t xml:space="preserve">Vadovaujantis </w:t>
      </w:r>
      <w:r w:rsidR="00F47AD1">
        <w:rPr>
          <w:rFonts w:ascii="Calibri" w:hAnsi="Calibri" w:cs="Calibri"/>
        </w:rPr>
        <w:t>A</w:t>
      </w:r>
      <w:r w:rsidR="008F7239">
        <w:rPr>
          <w:rFonts w:ascii="Calibri" w:hAnsi="Calibri" w:cs="Calibri"/>
        </w:rPr>
        <w:t xml:space="preserve">prašo 18.2 p. galimi pareiškėjai yra pramonės įmonės, kurių vykdoma </w:t>
      </w:r>
      <w:r w:rsidR="008F7239" w:rsidRPr="00D93922">
        <w:rPr>
          <w:rFonts w:ascii="Calibri" w:hAnsi="Calibri" w:cs="Calibri"/>
          <w:b/>
          <w:bCs/>
          <w:u w:val="single"/>
        </w:rPr>
        <w:t xml:space="preserve">pagrindinė </w:t>
      </w:r>
      <w:r w:rsidR="008F7239" w:rsidRPr="00D93922">
        <w:rPr>
          <w:rFonts w:ascii="Calibri" w:hAnsi="Calibri" w:cs="Calibri"/>
          <w:b/>
          <w:bCs/>
        </w:rPr>
        <w:t>ekonominė veikla</w:t>
      </w:r>
      <w:r w:rsidR="008F7239">
        <w:rPr>
          <w:rFonts w:ascii="Calibri" w:hAnsi="Calibri" w:cs="Calibri"/>
        </w:rPr>
        <w:t xml:space="preserve"> priskiriama EVRK 2.1 red. C sekcijai „Apdirbamoji gamyba“.</w:t>
      </w:r>
      <w:r>
        <w:rPr>
          <w:rFonts w:ascii="Calibri" w:hAnsi="Calibri" w:cs="Calibri"/>
        </w:rPr>
        <w:t xml:space="preserve"> Apibendrinant </w:t>
      </w:r>
      <w:proofErr w:type="spellStart"/>
      <w:r>
        <w:rPr>
          <w:rFonts w:ascii="Calibri" w:hAnsi="Calibri" w:cs="Calibri"/>
        </w:rPr>
        <w:t>teigtina</w:t>
      </w:r>
      <w:proofErr w:type="spellEnd"/>
      <w:r>
        <w:rPr>
          <w:rFonts w:ascii="Calibri" w:hAnsi="Calibri" w:cs="Calibri"/>
        </w:rPr>
        <w:t>, kad i</w:t>
      </w:r>
      <w:r w:rsidRPr="00D93922">
        <w:rPr>
          <w:rFonts w:ascii="Calibri" w:hAnsi="Calibri" w:cs="Calibri"/>
        </w:rPr>
        <w:t>š pagal EVRK 2.1 red. C sekciją „Apdirbamoji gamyba“</w:t>
      </w:r>
      <w:r>
        <w:rPr>
          <w:rFonts w:ascii="Calibri" w:hAnsi="Calibri" w:cs="Calibri"/>
        </w:rPr>
        <w:t xml:space="preserve"> vykdomos veiklos įmonės </w:t>
      </w:r>
      <w:r w:rsidR="00BB681D">
        <w:rPr>
          <w:rFonts w:ascii="Calibri" w:hAnsi="Calibri" w:cs="Calibri"/>
        </w:rPr>
        <w:t xml:space="preserve">metinė </w:t>
      </w:r>
      <w:r w:rsidRPr="00D93922">
        <w:rPr>
          <w:rFonts w:ascii="Calibri" w:hAnsi="Calibri" w:cs="Calibri"/>
        </w:rPr>
        <w:t>pajamos turi sudaryti ne mažiau kaip 51 procentą visų įmonės</w:t>
      </w:r>
      <w:r w:rsidR="00BB681D">
        <w:rPr>
          <w:rFonts w:ascii="Calibri" w:hAnsi="Calibri" w:cs="Calibri"/>
        </w:rPr>
        <w:t xml:space="preserve"> vykdomų</w:t>
      </w:r>
      <w:r w:rsidRPr="00D93922">
        <w:rPr>
          <w:rFonts w:ascii="Calibri" w:hAnsi="Calibri" w:cs="Calibri"/>
        </w:rPr>
        <w:t xml:space="preserve"> veiklų kiekvienais nurodytais metais (2022,</w:t>
      </w:r>
      <w:r>
        <w:rPr>
          <w:rFonts w:ascii="Calibri" w:hAnsi="Calibri" w:cs="Calibri"/>
        </w:rPr>
        <w:t xml:space="preserve"> </w:t>
      </w:r>
      <w:r w:rsidRPr="00D93922">
        <w:rPr>
          <w:rFonts w:ascii="Calibri" w:hAnsi="Calibri" w:cs="Calibri"/>
        </w:rPr>
        <w:t>2023,</w:t>
      </w:r>
      <w:r>
        <w:rPr>
          <w:rFonts w:ascii="Calibri" w:hAnsi="Calibri" w:cs="Calibri"/>
        </w:rPr>
        <w:t xml:space="preserve"> </w:t>
      </w:r>
      <w:r w:rsidRPr="00D93922">
        <w:rPr>
          <w:rFonts w:ascii="Calibri" w:hAnsi="Calibri" w:cs="Calibri"/>
        </w:rPr>
        <w:t>2024)</w:t>
      </w:r>
      <w:r>
        <w:rPr>
          <w:rFonts w:ascii="Calibri" w:hAnsi="Calibri" w:cs="Calibri"/>
        </w:rPr>
        <w:t>.</w:t>
      </w:r>
    </w:p>
    <w:p w14:paraId="1CCB3E93" w14:textId="77777777" w:rsidR="00BD61D2" w:rsidRDefault="00BD61D2" w:rsidP="008F7239">
      <w:pPr>
        <w:pStyle w:val="ListParagraph"/>
        <w:jc w:val="both"/>
        <w:rPr>
          <w:rFonts w:ascii="Calibri" w:hAnsi="Calibri" w:cs="Calibri"/>
        </w:rPr>
      </w:pPr>
    </w:p>
    <w:p w14:paraId="5A813860" w14:textId="5C8E02C8" w:rsidR="00BD61D2" w:rsidRPr="00680E34" w:rsidRDefault="00680E34" w:rsidP="00BD61D2">
      <w:pPr>
        <w:pStyle w:val="ListParagraph"/>
        <w:numPr>
          <w:ilvl w:val="0"/>
          <w:numId w:val="2"/>
        </w:numPr>
        <w:jc w:val="both"/>
        <w:rPr>
          <w:rFonts w:ascii="Calibri" w:hAnsi="Calibri" w:cs="Calibri"/>
          <w:u w:val="single"/>
        </w:rPr>
      </w:pPr>
      <w:r w:rsidRPr="00680E34">
        <w:rPr>
          <w:rFonts w:ascii="Calibri" w:hAnsi="Calibri" w:cs="Calibri"/>
          <w:b/>
          <w:bCs/>
          <w:u w:val="single"/>
        </w:rPr>
        <w:lastRenderedPageBreak/>
        <w:t>KLAUSIMAS:</w:t>
      </w:r>
      <w:r w:rsidRPr="00680E34">
        <w:rPr>
          <w:rFonts w:ascii="Calibri" w:hAnsi="Calibri" w:cs="Calibri"/>
          <w:u w:val="single"/>
        </w:rPr>
        <w:t xml:space="preserve"> </w:t>
      </w:r>
      <w:r w:rsidR="00BD61D2" w:rsidRPr="00680E34">
        <w:rPr>
          <w:rFonts w:ascii="Calibri" w:hAnsi="Calibri" w:cs="Calibri"/>
          <w:u w:val="single"/>
        </w:rPr>
        <w:t>Kokie techninės specifikacijos rodikliai kaip alternatyvos turi būti lyginami siekiant palyginti aplinkai palankią ir aplinkai mažiau palankią įrangą pagal scenarijų</w:t>
      </w:r>
      <w:r w:rsidRPr="00680E34">
        <w:rPr>
          <w:rFonts w:ascii="Calibri" w:hAnsi="Calibri" w:cs="Calibri"/>
          <w:u w:val="single"/>
        </w:rPr>
        <w:t>?</w:t>
      </w:r>
      <w:r w:rsidR="00BD61D2" w:rsidRPr="00680E34">
        <w:rPr>
          <w:rFonts w:ascii="Calibri" w:hAnsi="Calibri" w:cs="Calibri"/>
          <w:u w:val="single"/>
        </w:rPr>
        <w:t xml:space="preserve"> </w:t>
      </w:r>
    </w:p>
    <w:p w14:paraId="1338E3D0" w14:textId="77777777" w:rsidR="00F409FF" w:rsidRPr="00F409FF" w:rsidRDefault="00F409FF" w:rsidP="00F409FF">
      <w:pPr>
        <w:pStyle w:val="ListParagraph"/>
        <w:jc w:val="both"/>
        <w:rPr>
          <w:rFonts w:ascii="Calibri" w:hAnsi="Calibri" w:cs="Calibri"/>
        </w:rPr>
      </w:pPr>
    </w:p>
    <w:p w14:paraId="3D0F9EA9" w14:textId="6E610545" w:rsidR="00BD61D2" w:rsidRPr="00680E34" w:rsidRDefault="00680E34" w:rsidP="00680E34">
      <w:pPr>
        <w:pStyle w:val="ListParagraph"/>
        <w:jc w:val="both"/>
        <w:rPr>
          <w:rFonts w:ascii="Calibri" w:hAnsi="Calibri" w:cs="Calibri"/>
        </w:rPr>
      </w:pPr>
      <w:r w:rsidRPr="00680E34">
        <w:rPr>
          <w:rFonts w:ascii="Calibri" w:hAnsi="Calibri" w:cs="Calibri"/>
          <w:b/>
          <w:bCs/>
        </w:rPr>
        <w:t>ATSAKYMAS:</w:t>
      </w:r>
      <w:r>
        <w:rPr>
          <w:rFonts w:ascii="Calibri" w:hAnsi="Calibri" w:cs="Calibri"/>
        </w:rPr>
        <w:t xml:space="preserve"> </w:t>
      </w:r>
      <w:r w:rsidR="00BD61D2" w:rsidRPr="00BD61D2">
        <w:rPr>
          <w:rFonts w:ascii="Calibri" w:hAnsi="Calibri" w:cs="Calibri"/>
        </w:rPr>
        <w:t xml:space="preserve">Abi įrangos turi būti palyginamos tiek, kad jų paskirtis, gamybiniai pajėgumai turėtų būti panašūs. Abu scenarijai turi būti energetiškai efektyvesni ir mažiau taršūs už turimą įmonės įrangą. T. y. alternatyvi įranga yra investicija, kurią įmonė realiai atliktų </w:t>
      </w:r>
      <w:r>
        <w:rPr>
          <w:rFonts w:ascii="Calibri" w:hAnsi="Calibri" w:cs="Calibri"/>
        </w:rPr>
        <w:t>negaunant subsidijos;</w:t>
      </w:r>
    </w:p>
    <w:p w14:paraId="174E6F81" w14:textId="77777777" w:rsidR="00DE47F1" w:rsidRDefault="00DE47F1" w:rsidP="00BD61D2">
      <w:pPr>
        <w:pStyle w:val="ListParagraph"/>
        <w:jc w:val="both"/>
        <w:rPr>
          <w:rFonts w:ascii="Calibri" w:hAnsi="Calibri" w:cs="Calibri"/>
        </w:rPr>
      </w:pPr>
    </w:p>
    <w:sectPr w:rsidR="00DE47F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B2AE4"/>
    <w:multiLevelType w:val="hybridMultilevel"/>
    <w:tmpl w:val="6BC2626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329A7B37"/>
    <w:multiLevelType w:val="hybridMultilevel"/>
    <w:tmpl w:val="59E044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C64096D"/>
    <w:multiLevelType w:val="hybridMultilevel"/>
    <w:tmpl w:val="168EA9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11953914">
    <w:abstractNumId w:val="1"/>
  </w:num>
  <w:num w:numId="2" w16cid:durableId="1790930891">
    <w:abstractNumId w:val="2"/>
  </w:num>
  <w:num w:numId="3" w16cid:durableId="139857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E2"/>
    <w:rsid w:val="000C5FDC"/>
    <w:rsid w:val="000D0CF8"/>
    <w:rsid w:val="002820BE"/>
    <w:rsid w:val="003B2AA0"/>
    <w:rsid w:val="003B4267"/>
    <w:rsid w:val="00420ED6"/>
    <w:rsid w:val="00460073"/>
    <w:rsid w:val="005E5B4F"/>
    <w:rsid w:val="006442E2"/>
    <w:rsid w:val="00680E34"/>
    <w:rsid w:val="00795460"/>
    <w:rsid w:val="008C7324"/>
    <w:rsid w:val="008F7239"/>
    <w:rsid w:val="009158D8"/>
    <w:rsid w:val="009C34F4"/>
    <w:rsid w:val="00A612D8"/>
    <w:rsid w:val="00A96DC8"/>
    <w:rsid w:val="00B04B79"/>
    <w:rsid w:val="00BB681D"/>
    <w:rsid w:val="00BD61D2"/>
    <w:rsid w:val="00D93922"/>
    <w:rsid w:val="00DE47F1"/>
    <w:rsid w:val="00E779A5"/>
    <w:rsid w:val="00F409FF"/>
    <w:rsid w:val="00F47A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F21D"/>
  <w15:chartTrackingRefBased/>
  <w15:docId w15:val="{72570F65-AE8C-4E86-B800-DDEF8DA5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2E2"/>
    <w:rPr>
      <w:rFonts w:eastAsiaTheme="majorEastAsia" w:cstheme="majorBidi"/>
      <w:color w:val="272727" w:themeColor="text1" w:themeTint="D8"/>
    </w:rPr>
  </w:style>
  <w:style w:type="paragraph" w:styleId="Title">
    <w:name w:val="Title"/>
    <w:basedOn w:val="Normal"/>
    <w:next w:val="Normal"/>
    <w:link w:val="TitleChar"/>
    <w:uiPriority w:val="10"/>
    <w:qFormat/>
    <w:rsid w:val="00644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2E2"/>
    <w:pPr>
      <w:spacing w:before="160"/>
      <w:jc w:val="center"/>
    </w:pPr>
    <w:rPr>
      <w:i/>
      <w:iCs/>
      <w:color w:val="404040" w:themeColor="text1" w:themeTint="BF"/>
    </w:rPr>
  </w:style>
  <w:style w:type="character" w:customStyle="1" w:styleId="QuoteChar">
    <w:name w:val="Quote Char"/>
    <w:basedOn w:val="DefaultParagraphFont"/>
    <w:link w:val="Quote"/>
    <w:uiPriority w:val="29"/>
    <w:rsid w:val="006442E2"/>
    <w:rPr>
      <w:i/>
      <w:iCs/>
      <w:color w:val="404040" w:themeColor="text1" w:themeTint="BF"/>
    </w:rPr>
  </w:style>
  <w:style w:type="paragraph" w:styleId="ListParagraph">
    <w:name w:val="List Paragraph"/>
    <w:basedOn w:val="Normal"/>
    <w:uiPriority w:val="34"/>
    <w:qFormat/>
    <w:rsid w:val="006442E2"/>
    <w:pPr>
      <w:ind w:left="720"/>
      <w:contextualSpacing/>
    </w:pPr>
  </w:style>
  <w:style w:type="character" w:styleId="IntenseEmphasis">
    <w:name w:val="Intense Emphasis"/>
    <w:basedOn w:val="DefaultParagraphFont"/>
    <w:uiPriority w:val="21"/>
    <w:qFormat/>
    <w:rsid w:val="006442E2"/>
    <w:rPr>
      <w:i/>
      <w:iCs/>
      <w:color w:val="0F4761" w:themeColor="accent1" w:themeShade="BF"/>
    </w:rPr>
  </w:style>
  <w:style w:type="paragraph" w:styleId="IntenseQuote">
    <w:name w:val="Intense Quote"/>
    <w:basedOn w:val="Normal"/>
    <w:next w:val="Normal"/>
    <w:link w:val="IntenseQuoteChar"/>
    <w:uiPriority w:val="30"/>
    <w:qFormat/>
    <w:rsid w:val="00644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2E2"/>
    <w:rPr>
      <w:i/>
      <w:iCs/>
      <w:color w:val="0F4761" w:themeColor="accent1" w:themeShade="BF"/>
    </w:rPr>
  </w:style>
  <w:style w:type="character" w:styleId="IntenseReference">
    <w:name w:val="Intense Reference"/>
    <w:basedOn w:val="DefaultParagraphFont"/>
    <w:uiPriority w:val="32"/>
    <w:qFormat/>
    <w:rsid w:val="006442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4EB5B-36C1-4368-97A7-F904A59FF71A}"/>
</file>

<file path=customXml/itemProps2.xml><?xml version="1.0" encoding="utf-8"?>
<ds:datastoreItem xmlns:ds="http://schemas.openxmlformats.org/officeDocument/2006/customXml" ds:itemID="{2D01F881-138B-4D2A-AC36-E39F3ED23125}"/>
</file>

<file path=customXml/itemProps3.xml><?xml version="1.0" encoding="utf-8"?>
<ds:datastoreItem xmlns:ds="http://schemas.openxmlformats.org/officeDocument/2006/customXml" ds:itemID="{C339CE77-EDF3-4061-9D16-BE02B18D4F69}"/>
</file>

<file path=docProps/app.xml><?xml version="1.0" encoding="utf-8"?>
<Properties xmlns="http://schemas.openxmlformats.org/officeDocument/2006/extended-properties" xmlns:vt="http://schemas.openxmlformats.org/officeDocument/2006/docPropsVTypes">
  <Template>Normal</Template>
  <TotalTime>212</TotalTime>
  <Pages>4</Pages>
  <Words>4960</Words>
  <Characters>2828</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Steponaitienė</dc:creator>
  <cp:keywords/>
  <dc:description/>
  <cp:lastModifiedBy>Laima Steponaitienė</cp:lastModifiedBy>
  <cp:revision>8</cp:revision>
  <cp:lastPrinted>2025-08-13T07:43:00Z</cp:lastPrinted>
  <dcterms:created xsi:type="dcterms:W3CDTF">2025-07-31T05:17:00Z</dcterms:created>
  <dcterms:modified xsi:type="dcterms:W3CDTF">2025-08-13T08:50:00Z</dcterms:modified>
</cp:coreProperties>
</file>