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86B2" w14:textId="77777777" w:rsidR="006205CC" w:rsidRDefault="00643E43" w:rsidP="00643E43">
      <w:pPr>
        <w:jc w:val="center"/>
        <w:rPr>
          <w:b/>
          <w:bCs/>
          <w:noProof/>
          <w:sz w:val="56"/>
          <w:szCs w:val="56"/>
        </w:rPr>
      </w:pPr>
      <w:r w:rsidRPr="00643E43">
        <w:rPr>
          <w:b/>
          <w:bCs/>
          <w:noProof/>
          <w:sz w:val="56"/>
          <w:szCs w:val="56"/>
        </w:rPr>
        <w:t>DUK</w:t>
      </w:r>
    </w:p>
    <w:tbl>
      <w:tblPr>
        <w:tblStyle w:val="TableGrid"/>
        <w:tblW w:w="11052" w:type="dxa"/>
        <w:tblLook w:val="04A0" w:firstRow="1" w:lastRow="0" w:firstColumn="1" w:lastColumn="0" w:noHBand="0" w:noVBand="1"/>
      </w:tblPr>
      <w:tblGrid>
        <w:gridCol w:w="3964"/>
        <w:gridCol w:w="7088"/>
      </w:tblGrid>
      <w:tr w:rsidR="0033370F" w14:paraId="20A41380" w14:textId="77777777" w:rsidTr="00F4058A">
        <w:tc>
          <w:tcPr>
            <w:tcW w:w="3964" w:type="dxa"/>
          </w:tcPr>
          <w:p w14:paraId="317F1809" w14:textId="77777777" w:rsidR="0033370F" w:rsidRPr="00A31F77" w:rsidRDefault="0033370F" w:rsidP="0033370F">
            <w:pPr>
              <w:rPr>
                <w:b/>
                <w:bCs/>
                <w:i/>
                <w:iCs/>
                <w:noProof/>
              </w:rPr>
            </w:pPr>
            <w:r w:rsidRPr="00A31F77">
              <w:rPr>
                <w:b/>
                <w:bCs/>
                <w:i/>
                <w:iCs/>
                <w:noProof/>
              </w:rPr>
              <w:t>Koks projektų įgyvendinimo terminas (vidutiniškai mėnesiais)?</w:t>
            </w:r>
          </w:p>
        </w:tc>
        <w:tc>
          <w:tcPr>
            <w:tcW w:w="7088" w:type="dxa"/>
          </w:tcPr>
          <w:p w14:paraId="73C9D2AC" w14:textId="6F9E1403" w:rsidR="0033370F" w:rsidRPr="00D312F9" w:rsidRDefault="0033370F" w:rsidP="00A701AD">
            <w:pPr>
              <w:jc w:val="both"/>
              <w:rPr>
                <w:noProof/>
              </w:rPr>
            </w:pPr>
            <w:r>
              <w:rPr>
                <w:noProof/>
              </w:rPr>
              <w:t xml:space="preserve">Pagal LAAIF </w:t>
            </w:r>
            <w:r w:rsidR="00BF0440">
              <w:rPr>
                <w:noProof/>
              </w:rPr>
              <w:t xml:space="preserve">gyventojų prijungimo </w:t>
            </w:r>
            <w:r>
              <w:rPr>
                <w:noProof/>
              </w:rPr>
              <w:t xml:space="preserve">aprašo </w:t>
            </w:r>
            <w:r w:rsidR="00BF0440" w:rsidRPr="00BF0440">
              <w:rPr>
                <w:noProof/>
              </w:rPr>
              <w:t>18</w:t>
            </w:r>
            <w:r w:rsidR="00BF0440">
              <w:rPr>
                <w:noProof/>
              </w:rPr>
              <w:t xml:space="preserve"> punktą</w:t>
            </w:r>
            <w:r w:rsidR="00BF0440" w:rsidRPr="00BF0440">
              <w:rPr>
                <w:noProof/>
              </w:rPr>
              <w:t xml:space="preserve"> Projekto įgyvendinimo laikotarpis negali būti ilgesnis kaip 20 mėnesių. Projekto įgyvendinimo laikotarpio pradžia laikoma subsidijos teikimo sutarties įsigaliojimo data. Projekto įgyvendinimo laikotarpio pabaiga laikoma įgyvendinimo ataskaitos patvirtinimo data. Šis laikotarpis gali būti pratęsiamas dėl objektyvių, nuo projekto vykdytojo nepriklausančių priežasčių, kurių projekto vykdytojas negalėjo numatyti pateikdamas paraišką, tačiau ne ilgiau kaip 6 mėnesiams.</w:t>
            </w:r>
          </w:p>
        </w:tc>
      </w:tr>
      <w:tr w:rsidR="0033370F" w14:paraId="08926D7B" w14:textId="77777777" w:rsidTr="00F4058A">
        <w:tc>
          <w:tcPr>
            <w:tcW w:w="3964" w:type="dxa"/>
          </w:tcPr>
          <w:p w14:paraId="518CCCDF" w14:textId="77777777" w:rsidR="0033370F" w:rsidRPr="00A31F77" w:rsidRDefault="0033370F" w:rsidP="0033370F">
            <w:pPr>
              <w:rPr>
                <w:b/>
                <w:bCs/>
                <w:i/>
                <w:iCs/>
                <w:noProof/>
              </w:rPr>
            </w:pPr>
            <w:r w:rsidRPr="00A31F77">
              <w:rPr>
                <w:b/>
                <w:bCs/>
                <w:i/>
                <w:iCs/>
                <w:noProof/>
              </w:rPr>
              <w:t>Ar projekto vykdytojas vėl gali teikti paraišką, jei teikė paraišką ir gavo finansavimą ankstesniuose kvietimuose?</w:t>
            </w:r>
          </w:p>
        </w:tc>
        <w:tc>
          <w:tcPr>
            <w:tcW w:w="7088" w:type="dxa"/>
          </w:tcPr>
          <w:p w14:paraId="219C69C5" w14:textId="42496577" w:rsidR="0033370F" w:rsidRPr="006F5F46" w:rsidRDefault="0074770F" w:rsidP="00A701AD">
            <w:pPr>
              <w:jc w:val="both"/>
              <w:rPr>
                <w:noProof/>
              </w:rPr>
            </w:pPr>
            <w:r>
              <w:rPr>
                <w:noProof/>
              </w:rPr>
              <w:t>Tai, j</w:t>
            </w:r>
            <w:r w:rsidR="00BA6823">
              <w:rPr>
                <w:noProof/>
              </w:rPr>
              <w:t>ei įmonė</w:t>
            </w:r>
            <w:r w:rsidR="0033370F" w:rsidRPr="006F5F46">
              <w:rPr>
                <w:noProof/>
              </w:rPr>
              <w:t xml:space="preserve"> </w:t>
            </w:r>
            <w:r>
              <w:rPr>
                <w:noProof/>
              </w:rPr>
              <w:t xml:space="preserve">pvz. </w:t>
            </w:r>
            <w:r w:rsidR="0033370F" w:rsidRPr="006F5F46">
              <w:rPr>
                <w:noProof/>
              </w:rPr>
              <w:t>20</w:t>
            </w:r>
            <w:r w:rsidR="00BA6823">
              <w:rPr>
                <w:noProof/>
              </w:rPr>
              <w:t>2</w:t>
            </w:r>
            <w:r w:rsidR="00BF0440">
              <w:rPr>
                <w:noProof/>
              </w:rPr>
              <w:t>0</w:t>
            </w:r>
            <w:r w:rsidR="0033370F" w:rsidRPr="006F5F46">
              <w:rPr>
                <w:noProof/>
              </w:rPr>
              <w:t xml:space="preserve"> kvietim</w:t>
            </w:r>
            <w:r w:rsidR="00BA6823">
              <w:rPr>
                <w:noProof/>
              </w:rPr>
              <w:t xml:space="preserve">e </w:t>
            </w:r>
            <w:r w:rsidR="0033370F" w:rsidRPr="006F5F46">
              <w:rPr>
                <w:noProof/>
              </w:rPr>
              <w:t>teikė paraišką</w:t>
            </w:r>
            <w:r w:rsidR="00BA6823">
              <w:rPr>
                <w:noProof/>
              </w:rPr>
              <w:t xml:space="preserve"> </w:t>
            </w:r>
            <w:r w:rsidR="0033370F" w:rsidRPr="006F5F46">
              <w:rPr>
                <w:noProof/>
              </w:rPr>
              <w:t>pagal 20</w:t>
            </w:r>
            <w:r w:rsidR="00BA6823">
              <w:rPr>
                <w:noProof/>
              </w:rPr>
              <w:t>20</w:t>
            </w:r>
            <w:r w:rsidR="0033370F" w:rsidRPr="006F5F46">
              <w:rPr>
                <w:noProof/>
              </w:rPr>
              <w:t xml:space="preserve"> m.</w:t>
            </w:r>
            <w:r w:rsidR="00BA6823">
              <w:rPr>
                <w:noProof/>
              </w:rPr>
              <w:t xml:space="preserve"> patvirtintas</w:t>
            </w:r>
            <w:r w:rsidR="0033370F" w:rsidRPr="006F5F46">
              <w:rPr>
                <w:noProof/>
              </w:rPr>
              <w:t xml:space="preserve"> finansavimo kryptis, naujam kvietimui pagal 20</w:t>
            </w:r>
            <w:r w:rsidR="00BA6823">
              <w:rPr>
                <w:noProof/>
              </w:rPr>
              <w:t>21</w:t>
            </w:r>
            <w:r w:rsidR="00BF0440">
              <w:rPr>
                <w:noProof/>
              </w:rPr>
              <w:t>-2023</w:t>
            </w:r>
            <w:r w:rsidR="0033370F" w:rsidRPr="006F5F46">
              <w:rPr>
                <w:noProof/>
              </w:rPr>
              <w:t xml:space="preserve"> m. finansavimo kryptis įmonė vėl gali teikti paraišką vandenų krypties projektui.</w:t>
            </w:r>
          </w:p>
        </w:tc>
      </w:tr>
      <w:tr w:rsidR="00A31F77" w14:paraId="1C3D1758" w14:textId="77777777" w:rsidTr="00F4058A">
        <w:tc>
          <w:tcPr>
            <w:tcW w:w="3964" w:type="dxa"/>
          </w:tcPr>
          <w:p w14:paraId="27F9B090" w14:textId="77777777" w:rsidR="00A31F77" w:rsidRPr="00A31F77" w:rsidRDefault="00A31F77" w:rsidP="00A31F77">
            <w:pPr>
              <w:rPr>
                <w:b/>
                <w:bCs/>
                <w:i/>
                <w:iCs/>
                <w:noProof/>
              </w:rPr>
            </w:pPr>
            <w:r w:rsidRPr="00A31F77">
              <w:rPr>
                <w:b/>
                <w:bCs/>
                <w:i/>
                <w:iCs/>
                <w:noProof/>
              </w:rPr>
              <w:t>Ar pats pareiškėjas (pvz. vandenų įmonė) atlikti gyventojų pajungimo darbus?</w:t>
            </w:r>
          </w:p>
        </w:tc>
        <w:tc>
          <w:tcPr>
            <w:tcW w:w="7088" w:type="dxa"/>
          </w:tcPr>
          <w:p w14:paraId="30F759CF" w14:textId="0AF4BFF3" w:rsidR="00A31F77" w:rsidRPr="006F5F46" w:rsidRDefault="0074770F" w:rsidP="00A701AD">
            <w:pPr>
              <w:jc w:val="both"/>
              <w:rPr>
                <w:noProof/>
              </w:rPr>
            </w:pPr>
            <w:r>
              <w:rPr>
                <w:noProof/>
              </w:rPr>
              <w:t>A</w:t>
            </w:r>
            <w:r w:rsidR="006E214B">
              <w:rPr>
                <w:noProof/>
              </w:rPr>
              <w:t xml:space="preserve">pašo 20 p. </w:t>
            </w:r>
            <w:r w:rsidRPr="0074770F">
              <w:rPr>
                <w:noProof/>
              </w:rPr>
              <w:t>nustatyta, kad darbus, paslaugas i prekes perkančioji org. turi įsigyti laikydamasi VPĮ, jeigu neperkančioji -laikantis pirkimų vykdymo tvarkos aprašu, patvirtintu Lietuvos Respublikos aplinkos ministro 2010 m. rugsėjo 14 d. įsakymu Nr. D1-762. Kitais būdais paatirtos išlaidos nebūtų kompensuojamos.</w:t>
            </w:r>
          </w:p>
        </w:tc>
      </w:tr>
      <w:tr w:rsidR="00A31F77" w14:paraId="2119124A" w14:textId="77777777" w:rsidTr="00F4058A">
        <w:tc>
          <w:tcPr>
            <w:tcW w:w="3964" w:type="dxa"/>
          </w:tcPr>
          <w:p w14:paraId="6EB546D5" w14:textId="77777777" w:rsidR="00A31F77" w:rsidRPr="00A31F77" w:rsidRDefault="00A31F77" w:rsidP="00A31F77">
            <w:pPr>
              <w:jc w:val="both"/>
              <w:rPr>
                <w:b/>
                <w:bCs/>
                <w:i/>
                <w:iCs/>
                <w:noProof/>
              </w:rPr>
            </w:pPr>
            <w:r w:rsidRPr="00A31F77">
              <w:rPr>
                <w:b/>
                <w:bCs/>
                <w:i/>
                <w:iCs/>
                <w:noProof/>
              </w:rPr>
              <w:t>Ar būtina projektus vykdyti tik vienoje tinklo atšakoje, ar gali būti būstai skirtingose vietose?</w:t>
            </w:r>
          </w:p>
        </w:tc>
        <w:tc>
          <w:tcPr>
            <w:tcW w:w="7088" w:type="dxa"/>
          </w:tcPr>
          <w:p w14:paraId="3B6B5E9A" w14:textId="73B8C84A" w:rsidR="00A31F77" w:rsidRDefault="00A31F77" w:rsidP="00A701AD">
            <w:pPr>
              <w:jc w:val="both"/>
              <w:rPr>
                <w:noProof/>
              </w:rPr>
            </w:pPr>
            <w:r>
              <w:rPr>
                <w:noProof/>
              </w:rPr>
              <w:t>Į projektą įtraukiami būstai ne būtinai turi būti vienoje vietoje ir prijungiami tik prie vienos centralizuoto tinklo atšakos. Jie gali būti visose aglomeracijos ribose</w:t>
            </w:r>
            <w:r w:rsidR="004B2EBC">
              <w:rPr>
                <w:noProof/>
              </w:rPr>
              <w:t>.</w:t>
            </w:r>
            <w:r>
              <w:rPr>
                <w:noProof/>
              </w:rPr>
              <w:t xml:space="preserve"> </w:t>
            </w:r>
          </w:p>
        </w:tc>
      </w:tr>
      <w:tr w:rsidR="00A31F77" w14:paraId="0BD46279" w14:textId="77777777" w:rsidTr="00F4058A">
        <w:tc>
          <w:tcPr>
            <w:tcW w:w="3964" w:type="dxa"/>
          </w:tcPr>
          <w:p w14:paraId="59DF5A47" w14:textId="77777777" w:rsidR="00A31F77" w:rsidRPr="00A31F77" w:rsidRDefault="00A31F77" w:rsidP="00A31F77">
            <w:pPr>
              <w:jc w:val="both"/>
              <w:rPr>
                <w:b/>
                <w:bCs/>
                <w:i/>
                <w:iCs/>
                <w:noProof/>
              </w:rPr>
            </w:pPr>
            <w:r w:rsidRPr="00A31F77">
              <w:rPr>
                <w:b/>
                <w:bCs/>
                <w:i/>
                <w:iCs/>
                <w:noProof/>
              </w:rPr>
              <w:t>Ar gali būti būstai išsidėstę per visą rajoną?</w:t>
            </w:r>
          </w:p>
        </w:tc>
        <w:tc>
          <w:tcPr>
            <w:tcW w:w="7088" w:type="dxa"/>
          </w:tcPr>
          <w:p w14:paraId="689734E0" w14:textId="77777777" w:rsidR="00A31F77" w:rsidRDefault="00A31F77" w:rsidP="00A701AD">
            <w:pPr>
              <w:jc w:val="both"/>
              <w:rPr>
                <w:noProof/>
              </w:rPr>
            </w:pPr>
            <w:r>
              <w:rPr>
                <w:noProof/>
              </w:rPr>
              <w:t>Būstai turi būti išsidėstę tik aglomeracijos, kurioje vykdomas projektas ribose.</w:t>
            </w:r>
          </w:p>
        </w:tc>
      </w:tr>
      <w:tr w:rsidR="00A31F77" w14:paraId="1D2743F0" w14:textId="77777777" w:rsidTr="00F4058A">
        <w:tc>
          <w:tcPr>
            <w:tcW w:w="3964" w:type="dxa"/>
          </w:tcPr>
          <w:p w14:paraId="6DD2816A" w14:textId="43D7045C" w:rsidR="00A31F77" w:rsidRPr="00A31F77" w:rsidRDefault="00A31F77" w:rsidP="00A31F77">
            <w:pPr>
              <w:jc w:val="both"/>
              <w:rPr>
                <w:i/>
                <w:iCs/>
                <w:noProof/>
              </w:rPr>
            </w:pPr>
            <w:r w:rsidRPr="00A31F77">
              <w:rPr>
                <w:b/>
                <w:bCs/>
                <w:i/>
                <w:iCs/>
                <w:noProof/>
              </w:rPr>
              <w:t>Ar gali būti prijungiami būstai, kur</w:t>
            </w:r>
            <w:r>
              <w:rPr>
                <w:b/>
                <w:bCs/>
                <w:i/>
                <w:iCs/>
                <w:noProof/>
              </w:rPr>
              <w:t xml:space="preserve"> centralizuoti tinklai</w:t>
            </w:r>
            <w:r w:rsidRPr="00A31F77">
              <w:rPr>
                <w:b/>
                <w:bCs/>
                <w:i/>
                <w:iCs/>
                <w:noProof/>
              </w:rPr>
              <w:t xml:space="preserve"> tiesti</w:t>
            </w:r>
            <w:r w:rsidR="00C2364A">
              <w:rPr>
                <w:b/>
                <w:bCs/>
                <w:i/>
                <w:iCs/>
                <w:noProof/>
              </w:rPr>
              <w:t xml:space="preserve"> ES</w:t>
            </w:r>
            <w:r w:rsidRPr="00A31F77">
              <w:rPr>
                <w:b/>
                <w:bCs/>
                <w:i/>
                <w:iCs/>
                <w:noProof/>
              </w:rPr>
              <w:t xml:space="preserve"> </w:t>
            </w:r>
            <w:r w:rsidR="00C2364A">
              <w:rPr>
                <w:b/>
                <w:bCs/>
                <w:i/>
                <w:iCs/>
                <w:noProof/>
              </w:rPr>
              <w:t>lėšomis</w:t>
            </w:r>
            <w:r w:rsidRPr="00A31F77">
              <w:rPr>
                <w:b/>
                <w:bCs/>
                <w:i/>
                <w:iCs/>
                <w:noProof/>
              </w:rPr>
              <w:t>?</w:t>
            </w:r>
          </w:p>
        </w:tc>
        <w:tc>
          <w:tcPr>
            <w:tcW w:w="7088" w:type="dxa"/>
          </w:tcPr>
          <w:p w14:paraId="3FBBA7F5" w14:textId="1AD9586C" w:rsidR="00A31F77" w:rsidRDefault="00A31F77" w:rsidP="00A701AD">
            <w:pPr>
              <w:jc w:val="both"/>
              <w:rPr>
                <w:noProof/>
              </w:rPr>
            </w:pPr>
            <w:r>
              <w:rPr>
                <w:noProof/>
              </w:rPr>
              <w:t>T</w:t>
            </w:r>
            <w:r w:rsidR="00C2364A">
              <w:rPr>
                <w:noProof/>
              </w:rPr>
              <w:t>aip, prie ES lėšomis</w:t>
            </w:r>
            <w:r w:rsidR="004B2EBC">
              <w:rPr>
                <w:noProof/>
              </w:rPr>
              <w:t xml:space="preserve"> (2007-2013 ir 2014-2020 finansavimo programų)</w:t>
            </w:r>
            <w:r w:rsidR="00C2364A">
              <w:rPr>
                <w:noProof/>
              </w:rPr>
              <w:t xml:space="preserve"> finansuotų centralizuotų tinklų būstai gali būti prijungiami</w:t>
            </w:r>
            <w:r w:rsidR="0036121C">
              <w:rPr>
                <w:noProof/>
              </w:rPr>
              <w:t xml:space="preserve">, </w:t>
            </w:r>
            <w:r w:rsidR="0036121C">
              <w:rPr>
                <w:noProof/>
              </w:rPr>
              <w:t xml:space="preserve">tačiau negali būti prijungiami </w:t>
            </w:r>
            <w:r w:rsidR="0036121C" w:rsidRPr="006E214B">
              <w:rPr>
                <w:noProof/>
              </w:rPr>
              <w:t>būsta</w:t>
            </w:r>
            <w:r w:rsidR="0036121C">
              <w:rPr>
                <w:noProof/>
              </w:rPr>
              <w:t>i</w:t>
            </w:r>
            <w:r w:rsidR="0036121C" w:rsidRPr="006E214B">
              <w:rPr>
                <w:noProof/>
              </w:rPr>
              <w:t xml:space="preserve"> prijungti prie esamų centralizuotų nuotekų surinkimo tinklų, kurių tiesimas bendrai finansuotas iš 05.3.2-VIPA-T-024 priemonės „Nuotekų surinkimo tinklų plėtra“ ir 05.3.2-FM-F-015 priemonės „Vandentvarkos fondas“ lėšų</w:t>
            </w:r>
            <w:r w:rsidR="0036121C">
              <w:rPr>
                <w:noProof/>
              </w:rPr>
              <w:t>.</w:t>
            </w:r>
          </w:p>
        </w:tc>
      </w:tr>
      <w:tr w:rsidR="000A0215" w14:paraId="09407106" w14:textId="77777777" w:rsidTr="00F4058A">
        <w:tc>
          <w:tcPr>
            <w:tcW w:w="3964" w:type="dxa"/>
          </w:tcPr>
          <w:p w14:paraId="294AEDE5" w14:textId="77777777" w:rsidR="000A0215" w:rsidRPr="00F74994" w:rsidRDefault="000A0215" w:rsidP="000A0215">
            <w:pPr>
              <w:rPr>
                <w:b/>
                <w:bCs/>
                <w:i/>
                <w:iCs/>
                <w:noProof/>
              </w:rPr>
            </w:pPr>
            <w:r w:rsidRPr="00F74994">
              <w:rPr>
                <w:b/>
                <w:bCs/>
                <w:i/>
                <w:iCs/>
                <w:noProof/>
              </w:rPr>
              <w:t>Ką daryti mažoms gyvenvietėms? Ar LAAIF lėšomis galima sutvarkyti nuotekas iš jose?</w:t>
            </w:r>
          </w:p>
        </w:tc>
        <w:tc>
          <w:tcPr>
            <w:tcW w:w="7088" w:type="dxa"/>
          </w:tcPr>
          <w:p w14:paraId="3A9535DF" w14:textId="77777777" w:rsidR="000A0215" w:rsidRDefault="004B0FC4" w:rsidP="00A701AD">
            <w:pPr>
              <w:jc w:val="both"/>
              <w:rPr>
                <w:noProof/>
              </w:rPr>
            </w:pPr>
            <w:r>
              <w:rPr>
                <w:noProof/>
              </w:rPr>
              <w:t>P</w:t>
            </w:r>
            <w:r w:rsidR="000A0215">
              <w:rPr>
                <w:noProof/>
              </w:rPr>
              <w:t>agal šiuo metu patvirtintas finansavimo kryptis finansavimas skiriamas tik aglomeracijoms didesnėms negu 2000 GE ir toms, kurios yra paminėtos EK nuomonėje</w:t>
            </w:r>
            <w:r>
              <w:rPr>
                <w:noProof/>
              </w:rPr>
              <w:t>, todėl šiuo metu mažoms gyvenvietėms LAAIF finasavimas neskiriamas.</w:t>
            </w:r>
          </w:p>
        </w:tc>
      </w:tr>
      <w:tr w:rsidR="000A0215" w14:paraId="62D1107D" w14:textId="77777777" w:rsidTr="00F4058A">
        <w:tc>
          <w:tcPr>
            <w:tcW w:w="3964" w:type="dxa"/>
          </w:tcPr>
          <w:p w14:paraId="083CB1D3" w14:textId="77777777" w:rsidR="000A0215" w:rsidRPr="00F74994" w:rsidRDefault="000A0215" w:rsidP="000A0215">
            <w:pPr>
              <w:rPr>
                <w:b/>
                <w:bCs/>
                <w:i/>
                <w:iCs/>
                <w:noProof/>
              </w:rPr>
            </w:pPr>
            <w:r w:rsidRPr="00F74994">
              <w:rPr>
                <w:b/>
                <w:bCs/>
                <w:i/>
                <w:iCs/>
                <w:noProof/>
              </w:rPr>
              <w:t>Kokius rodiklius  projekto vykdytojas turi pasiekti, kad gautų II subsidijos dalį?</w:t>
            </w:r>
          </w:p>
        </w:tc>
        <w:tc>
          <w:tcPr>
            <w:tcW w:w="7088" w:type="dxa"/>
          </w:tcPr>
          <w:p w14:paraId="7351E972" w14:textId="48EB3A34" w:rsidR="00946F80" w:rsidRDefault="00946F80" w:rsidP="00946F80">
            <w:pPr>
              <w:rPr>
                <w:noProof/>
              </w:rPr>
            </w:pPr>
            <w:r>
              <w:rPr>
                <w:noProof/>
              </w:rPr>
              <w:t xml:space="preserve">Pagal LAAIF gyvetojų prijungim aprašo </w:t>
            </w:r>
            <w:r>
              <w:rPr>
                <w:noProof/>
              </w:rPr>
              <w:t>46</w:t>
            </w:r>
            <w:r>
              <w:rPr>
                <w:noProof/>
              </w:rPr>
              <w:t xml:space="preserve"> punktą</w:t>
            </w:r>
            <w:r>
              <w:rPr>
                <w:noProof/>
              </w:rPr>
              <w:t xml:space="preserve"> </w:t>
            </w:r>
            <w:r>
              <w:rPr>
                <w:noProof/>
              </w:rPr>
              <w:t>a</w:t>
            </w:r>
            <w:r>
              <w:rPr>
                <w:noProof/>
              </w:rPr>
              <w:t>ntroji subsidijos dalis (40 proc.) išmokama, kai:</w:t>
            </w:r>
          </w:p>
          <w:p w14:paraId="36332927" w14:textId="3152AA27" w:rsidR="00946F80" w:rsidRDefault="00946F80" w:rsidP="00946F80">
            <w:pPr>
              <w:pStyle w:val="ListParagraph"/>
              <w:numPr>
                <w:ilvl w:val="0"/>
                <w:numId w:val="1"/>
              </w:numPr>
              <w:rPr>
                <w:noProof/>
              </w:rPr>
            </w:pPr>
            <w:r>
              <w:rPr>
                <w:noProof/>
              </w:rPr>
              <w:t>projekto vykdytojas pateikė pagal patvirtintas formas tinkamai parengtus mokėjimo prašymą, įgyvendinimo ataskaitą ir Agentūra juos patvirtino;</w:t>
            </w:r>
          </w:p>
          <w:p w14:paraId="73D88445" w14:textId="77777777" w:rsidR="00946F80" w:rsidRDefault="00946F80" w:rsidP="00946F80">
            <w:pPr>
              <w:pStyle w:val="ListParagraph"/>
              <w:numPr>
                <w:ilvl w:val="0"/>
                <w:numId w:val="1"/>
              </w:numPr>
              <w:rPr>
                <w:noProof/>
              </w:rPr>
            </w:pPr>
            <w:r>
              <w:rPr>
                <w:noProof/>
              </w:rPr>
              <w:t>projekto vykdytojas galutinai atsiskaitė su įrangos tiekėjais, darbų ir (ar) paslaugų rangovais;</w:t>
            </w:r>
          </w:p>
          <w:p w14:paraId="0A34748C" w14:textId="77777777" w:rsidR="00946F80" w:rsidRDefault="00946F80" w:rsidP="00946F80">
            <w:pPr>
              <w:pStyle w:val="ListParagraph"/>
              <w:numPr>
                <w:ilvl w:val="0"/>
                <w:numId w:val="1"/>
              </w:numPr>
              <w:rPr>
                <w:noProof/>
              </w:rPr>
            </w:pPr>
            <w:r>
              <w:rPr>
                <w:noProof/>
              </w:rPr>
              <w:t>projekto vykdytojas ir gyventojai pasirašė nuotekų surinkimo tinklų perdavimo–priėmimo aktus;</w:t>
            </w:r>
          </w:p>
          <w:p w14:paraId="0447F3E7" w14:textId="77777777" w:rsidR="00946F80" w:rsidRDefault="00946F80" w:rsidP="00946F80">
            <w:pPr>
              <w:pStyle w:val="ListParagraph"/>
              <w:numPr>
                <w:ilvl w:val="0"/>
                <w:numId w:val="1"/>
              </w:numPr>
              <w:rPr>
                <w:noProof/>
              </w:rPr>
            </w:pPr>
            <w:r>
              <w:rPr>
                <w:noProof/>
              </w:rPr>
              <w:t>projekto vykdytojas pagal Tvarkos aprašo 2 priedą nurodo, koks rodiklis pasiektas įgyvendinus projektą, ir pateikia nuotekų tvarkymo sutarčių sąrašą (gyvenamo būsto adresą, sutarties sudarymo datą ir Nr.);</w:t>
            </w:r>
          </w:p>
          <w:p w14:paraId="6F9FC215" w14:textId="77777777" w:rsidR="00946F80" w:rsidRDefault="00946F80" w:rsidP="00946F80">
            <w:pPr>
              <w:pStyle w:val="ListParagraph"/>
              <w:numPr>
                <w:ilvl w:val="0"/>
                <w:numId w:val="1"/>
              </w:numPr>
              <w:rPr>
                <w:noProof/>
              </w:rPr>
            </w:pPr>
            <w:r>
              <w:rPr>
                <w:noProof/>
              </w:rPr>
              <w:t>projekto vykdytojas pateikė statybų užbaigimą patvirtinantį dokumentą (aktą arba deklaraciją), kai privaloma pagal statybos teisę reglamentuojančius teisės aktus;</w:t>
            </w:r>
          </w:p>
          <w:p w14:paraId="57E4CF65" w14:textId="77777777" w:rsidR="00946F80" w:rsidRDefault="00946F80" w:rsidP="00946F80">
            <w:pPr>
              <w:pStyle w:val="ListParagraph"/>
              <w:numPr>
                <w:ilvl w:val="0"/>
                <w:numId w:val="1"/>
              </w:numPr>
              <w:rPr>
                <w:noProof/>
              </w:rPr>
            </w:pPr>
            <w:r>
              <w:rPr>
                <w:noProof/>
              </w:rPr>
              <w:lastRenderedPageBreak/>
              <w:t>projekto vykdytojas įrengė informacinę lentą ir informaciją apie projektą paskelbė savo internetinėje svetainėje, jeigu ją turi, nurodydamas, kad projektas finansuojamas Lietuvos aplinkos apsaugos investicijų fondo lėšomis. Informacinių lentų įrengimo reikalavimus nustato Agentūra ir skelbia savo interneto svetainėje;</w:t>
            </w:r>
          </w:p>
          <w:p w14:paraId="1E2BC457" w14:textId="77777777" w:rsidR="00946F80" w:rsidRDefault="00946F80" w:rsidP="00946F80">
            <w:pPr>
              <w:pStyle w:val="ListParagraph"/>
              <w:numPr>
                <w:ilvl w:val="0"/>
                <w:numId w:val="1"/>
              </w:numPr>
              <w:rPr>
                <w:noProof/>
              </w:rPr>
            </w:pPr>
            <w:r>
              <w:rPr>
                <w:noProof/>
              </w:rPr>
              <w:t>visos prašomos apmokėti išlaidos pagrįstos išlaidų pagrindimo ir jų apmokėjimo įrodymo ar lygiavertės įrodomosios vertės dokumentais ir turi būti užtikrinamas šių dokumentų atsekamumas;</w:t>
            </w:r>
          </w:p>
          <w:p w14:paraId="53B04D8B" w14:textId="77777777" w:rsidR="00946F80" w:rsidRDefault="00946F80" w:rsidP="00946F80">
            <w:pPr>
              <w:pStyle w:val="ListParagraph"/>
              <w:numPr>
                <w:ilvl w:val="0"/>
                <w:numId w:val="1"/>
              </w:numPr>
              <w:rPr>
                <w:noProof/>
              </w:rPr>
            </w:pPr>
            <w:r>
              <w:rPr>
                <w:noProof/>
              </w:rPr>
              <w:t>Agentūra patikrino įvykdytų pirkimų atitikimą Viešųjų pirkimų įstatymui, Lietuvos Respublikos pirkimų, atliekamų vandentvarkos, energetikos, transporto ar pašto paslaugų srities perkančiųjų subjektų, įstatymui arba Ūkio subjektų, kurie nėra perkančiosios organizacijos pagal Lietuvos Respublikos viešųjų pirkimų įstatymą, pirkimų vykdymo ir priežiūros tvarkos aprašui;</w:t>
            </w:r>
          </w:p>
          <w:p w14:paraId="1B7E9970" w14:textId="79CD4A82" w:rsidR="000A0215" w:rsidRDefault="00946F80" w:rsidP="00946F80">
            <w:pPr>
              <w:pStyle w:val="ListParagraph"/>
              <w:numPr>
                <w:ilvl w:val="0"/>
                <w:numId w:val="1"/>
              </w:numPr>
              <w:rPr>
                <w:noProof/>
              </w:rPr>
            </w:pPr>
            <w:r>
              <w:rPr>
                <w:noProof/>
              </w:rPr>
              <w:t>Agentūra atliko patikrą projekto įgyvendinimo vietoje.</w:t>
            </w:r>
          </w:p>
        </w:tc>
      </w:tr>
      <w:tr w:rsidR="00510E38" w14:paraId="199A8F99" w14:textId="77777777" w:rsidTr="00F4058A">
        <w:tc>
          <w:tcPr>
            <w:tcW w:w="3964" w:type="dxa"/>
          </w:tcPr>
          <w:p w14:paraId="09726B19" w14:textId="77777777" w:rsidR="00510E38" w:rsidRPr="00510E38" w:rsidRDefault="00510E38" w:rsidP="00510E38">
            <w:pPr>
              <w:rPr>
                <w:b/>
                <w:bCs/>
                <w:i/>
                <w:iCs/>
                <w:noProof/>
              </w:rPr>
            </w:pPr>
            <w:r w:rsidRPr="00510E38">
              <w:rPr>
                <w:b/>
                <w:bCs/>
                <w:i/>
                <w:iCs/>
                <w:noProof/>
              </w:rPr>
              <w:lastRenderedPageBreak/>
              <w:t xml:space="preserve">Ar išlaidos yra tinkamos finansuoti kai dalis tinklo yra už vartotojo sklypo </w:t>
            </w:r>
            <w:r>
              <w:rPr>
                <w:b/>
                <w:bCs/>
                <w:i/>
                <w:iCs/>
                <w:noProof/>
              </w:rPr>
              <w:t>ribų?</w:t>
            </w:r>
          </w:p>
        </w:tc>
        <w:tc>
          <w:tcPr>
            <w:tcW w:w="7088" w:type="dxa"/>
          </w:tcPr>
          <w:p w14:paraId="05834FD7" w14:textId="67866C89" w:rsidR="00510E38" w:rsidRDefault="00C676CC" w:rsidP="00A701AD">
            <w:pPr>
              <w:jc w:val="both"/>
              <w:rPr>
                <w:noProof/>
              </w:rPr>
            </w:pPr>
            <w:r w:rsidRPr="00C676CC">
              <w:rPr>
                <w:noProof/>
              </w:rPr>
              <w:t xml:space="preserve">Pagal LAAIF gyventojų prijungimo aprašo </w:t>
            </w:r>
            <w:r>
              <w:rPr>
                <w:noProof/>
              </w:rPr>
              <w:t xml:space="preserve">punktą </w:t>
            </w:r>
            <w:r w:rsidRPr="00C676CC">
              <w:rPr>
                <w:noProof/>
              </w:rPr>
              <w:t>10.1. nuotekų surinkimo tinklai tiesiami nuo centralizuotosios nuotekų surinkimo sistemos, esančios valstybės ar savivaldybės teisėtais pagrindais naudojamoje teritorijoje, iki gyvenamo būsto per gyventojo sklypą</w:t>
            </w:r>
            <w:r>
              <w:rPr>
                <w:noProof/>
              </w:rPr>
              <w:t xml:space="preserve">. Minėto aprašo </w:t>
            </w:r>
            <w:r w:rsidRPr="00C676CC">
              <w:rPr>
                <w:noProof/>
              </w:rPr>
              <w:t>21.2.</w:t>
            </w:r>
            <w:r>
              <w:rPr>
                <w:noProof/>
              </w:rPr>
              <w:t xml:space="preserve"> punkte numatyta, kad tinkamos išlaidos yra</w:t>
            </w:r>
            <w:r w:rsidRPr="00C676CC">
              <w:rPr>
                <w:noProof/>
              </w:rPr>
              <w:t xml:space="preserve"> nuotekų surinkimo tinklų statyba (įskaitant statybą gyventojui nuosavybės teise priklausančio ar kitaip valdomo ir (arba) naudojamo turto ribose)</w:t>
            </w:r>
            <w:r w:rsidR="00376E0A">
              <w:rPr>
                <w:noProof/>
              </w:rPr>
              <w:t>.</w:t>
            </w:r>
          </w:p>
        </w:tc>
      </w:tr>
      <w:tr w:rsidR="00376E0A" w14:paraId="3F4713F5" w14:textId="77777777" w:rsidTr="00F4058A">
        <w:tc>
          <w:tcPr>
            <w:tcW w:w="3964" w:type="dxa"/>
          </w:tcPr>
          <w:p w14:paraId="5983A5AA" w14:textId="77777777" w:rsidR="00376E0A" w:rsidRPr="00376E0A" w:rsidRDefault="00376E0A" w:rsidP="00376E0A">
            <w:pPr>
              <w:rPr>
                <w:b/>
                <w:bCs/>
                <w:i/>
                <w:iCs/>
                <w:noProof/>
              </w:rPr>
            </w:pPr>
            <w:r w:rsidRPr="00376E0A">
              <w:rPr>
                <w:b/>
                <w:bCs/>
                <w:i/>
                <w:iCs/>
                <w:noProof/>
              </w:rPr>
              <w:t>Ar tinkamos išlaidos yra PVM?</w:t>
            </w:r>
          </w:p>
        </w:tc>
        <w:tc>
          <w:tcPr>
            <w:tcW w:w="7088" w:type="dxa"/>
          </w:tcPr>
          <w:p w14:paraId="2A7756BB" w14:textId="77777777" w:rsidR="00376E0A" w:rsidRDefault="00375B2F" w:rsidP="00A701AD">
            <w:pPr>
              <w:jc w:val="both"/>
              <w:rPr>
                <w:noProof/>
              </w:rPr>
            </w:pPr>
            <w:r>
              <w:rPr>
                <w:noProof/>
              </w:rPr>
              <w:t>P</w:t>
            </w:r>
            <w:r w:rsidRPr="00375B2F">
              <w:rPr>
                <w:noProof/>
              </w:rPr>
              <w:t xml:space="preserve">irkimo ir (arba) importo pridėtinės vertės mokestis, </w:t>
            </w:r>
            <w:r w:rsidRPr="00375B2F">
              <w:rPr>
                <w:noProof/>
                <w:u w:val="single"/>
              </w:rPr>
              <w:t>kurį pareiškėjas pagal Lietuvos Respublikos įstatymus turi teisę susigrąžinti</w:t>
            </w:r>
            <w:r w:rsidRPr="00375B2F">
              <w:rPr>
                <w:noProof/>
              </w:rPr>
              <w:t xml:space="preserve"> (atskaityti)</w:t>
            </w:r>
            <w:r>
              <w:rPr>
                <w:noProof/>
              </w:rPr>
              <w:t xml:space="preserve"> nėra tinkamos finansuoti išlaidos. Jei pareiškėjas neturi teisės susigrąžinti PVM, nuo tų išlaidų, kurios yra tinkamos finansuoti, PVM taip pat bus tinkamas tinkamas finansuoti. </w:t>
            </w:r>
          </w:p>
        </w:tc>
      </w:tr>
      <w:tr w:rsidR="00376E0A" w14:paraId="43F875E8" w14:textId="77777777" w:rsidTr="00F4058A">
        <w:tc>
          <w:tcPr>
            <w:tcW w:w="3964" w:type="dxa"/>
          </w:tcPr>
          <w:p w14:paraId="24D5778C" w14:textId="77777777" w:rsidR="00376E0A" w:rsidRPr="00376E0A" w:rsidRDefault="00376E0A" w:rsidP="00376E0A">
            <w:pPr>
              <w:rPr>
                <w:b/>
                <w:bCs/>
                <w:i/>
                <w:iCs/>
                <w:noProof/>
              </w:rPr>
            </w:pPr>
            <w:r w:rsidRPr="00376E0A">
              <w:rPr>
                <w:b/>
                <w:bCs/>
                <w:i/>
                <w:iCs/>
                <w:noProof/>
              </w:rPr>
              <w:t>Ar galima numatyti avansinį mokėjimą?</w:t>
            </w:r>
          </w:p>
        </w:tc>
        <w:tc>
          <w:tcPr>
            <w:tcW w:w="7088" w:type="dxa"/>
          </w:tcPr>
          <w:p w14:paraId="2C57EBA9" w14:textId="3D6EE113" w:rsidR="00376E0A" w:rsidRDefault="002570B1" w:rsidP="00A701AD">
            <w:pPr>
              <w:jc w:val="both"/>
              <w:rPr>
                <w:noProof/>
              </w:rPr>
            </w:pPr>
            <w:r>
              <w:rPr>
                <w:noProof/>
              </w:rPr>
              <w:t>Taip</w:t>
            </w:r>
            <w:r w:rsidR="00375B2F">
              <w:rPr>
                <w:noProof/>
              </w:rPr>
              <w:t>,</w:t>
            </w:r>
            <w:r>
              <w:rPr>
                <w:noProof/>
              </w:rPr>
              <w:t xml:space="preserve"> yra numatyta, kad p</w:t>
            </w:r>
            <w:r w:rsidRPr="002570B1">
              <w:rPr>
                <w:noProof/>
              </w:rPr>
              <w:t>irmoji subsidijos dalis (60 proc.) išmokama per 10 darbo dienų nuo subsidijos teikimo sutarties pasirašymo dienos.</w:t>
            </w:r>
          </w:p>
        </w:tc>
      </w:tr>
      <w:tr w:rsidR="00376E0A" w14:paraId="66357C58" w14:textId="77777777" w:rsidTr="00F4058A">
        <w:tc>
          <w:tcPr>
            <w:tcW w:w="3964" w:type="dxa"/>
          </w:tcPr>
          <w:p w14:paraId="2DD01202" w14:textId="21A3A9A2" w:rsidR="00376E0A" w:rsidRPr="00376E0A" w:rsidRDefault="00A96012" w:rsidP="00376E0A">
            <w:pPr>
              <w:rPr>
                <w:b/>
                <w:bCs/>
                <w:i/>
                <w:iCs/>
                <w:noProof/>
              </w:rPr>
            </w:pPr>
            <w:r>
              <w:rPr>
                <w:b/>
                <w:bCs/>
                <w:i/>
                <w:iCs/>
                <w:noProof/>
              </w:rPr>
              <w:t>Ar numatoma kompensuoti n</w:t>
            </w:r>
            <w:r w:rsidR="00376E0A" w:rsidRPr="00376E0A">
              <w:rPr>
                <w:b/>
                <w:bCs/>
                <w:i/>
                <w:iCs/>
                <w:noProof/>
              </w:rPr>
              <w:t>otarinių veiksmų išlaid</w:t>
            </w:r>
            <w:r>
              <w:rPr>
                <w:b/>
                <w:bCs/>
                <w:i/>
                <w:iCs/>
                <w:noProof/>
              </w:rPr>
              <w:t>as?</w:t>
            </w:r>
          </w:p>
        </w:tc>
        <w:tc>
          <w:tcPr>
            <w:tcW w:w="7088" w:type="dxa"/>
          </w:tcPr>
          <w:p w14:paraId="224FB091" w14:textId="0F7F8C8F" w:rsidR="00376E0A" w:rsidRDefault="00375B2F" w:rsidP="00A701AD">
            <w:pPr>
              <w:jc w:val="both"/>
              <w:rPr>
                <w:noProof/>
              </w:rPr>
            </w:pPr>
            <w:r>
              <w:rPr>
                <w:noProof/>
              </w:rPr>
              <w:t xml:space="preserve">Pagal LAAIF </w:t>
            </w:r>
            <w:r w:rsidR="002570B1">
              <w:rPr>
                <w:noProof/>
              </w:rPr>
              <w:t xml:space="preserve">gyventojų prijungimo </w:t>
            </w:r>
            <w:r>
              <w:rPr>
                <w:noProof/>
              </w:rPr>
              <w:t xml:space="preserve">aprašo </w:t>
            </w:r>
            <w:r w:rsidR="002570B1">
              <w:rPr>
                <w:noProof/>
              </w:rPr>
              <w:t>2</w:t>
            </w:r>
            <w:r w:rsidRPr="00375B2F">
              <w:rPr>
                <w:noProof/>
              </w:rPr>
              <w:t>1.1.</w:t>
            </w:r>
            <w:r>
              <w:rPr>
                <w:noProof/>
              </w:rPr>
              <w:t xml:space="preserve"> p</w:t>
            </w:r>
            <w:r w:rsidR="00A96012">
              <w:rPr>
                <w:noProof/>
              </w:rPr>
              <w:t>unktą</w:t>
            </w:r>
            <w:r w:rsidRPr="00375B2F">
              <w:rPr>
                <w:noProof/>
              </w:rPr>
              <w:t xml:space="preserve"> </w:t>
            </w:r>
            <w:r w:rsidR="002570B1" w:rsidRPr="002570B1">
              <w:rPr>
                <w:noProof/>
              </w:rPr>
              <w:t>teisinės registracijos išlaidos, tiesiogiai susijusios su projekto veiklomis</w:t>
            </w:r>
            <w:r w:rsidR="002570B1">
              <w:rPr>
                <w:noProof/>
              </w:rPr>
              <w:t xml:space="preserve"> yra tinkamos finansuoti</w:t>
            </w:r>
            <w:r w:rsidR="00A96012">
              <w:rPr>
                <w:noProof/>
              </w:rPr>
              <w:t>.</w:t>
            </w:r>
          </w:p>
        </w:tc>
      </w:tr>
      <w:tr w:rsidR="00376E0A" w14:paraId="260DCC14" w14:textId="77777777" w:rsidTr="00F4058A">
        <w:tc>
          <w:tcPr>
            <w:tcW w:w="3964" w:type="dxa"/>
          </w:tcPr>
          <w:p w14:paraId="2CF03BB9" w14:textId="77777777" w:rsidR="00376E0A" w:rsidRPr="00376E0A" w:rsidRDefault="00376E0A" w:rsidP="00376E0A">
            <w:pPr>
              <w:rPr>
                <w:i/>
                <w:iCs/>
                <w:noProof/>
              </w:rPr>
            </w:pPr>
            <w:r w:rsidRPr="00376E0A">
              <w:rPr>
                <w:b/>
                <w:bCs/>
                <w:i/>
                <w:iCs/>
                <w:noProof/>
              </w:rPr>
              <w:t xml:space="preserve">Ar </w:t>
            </w:r>
            <w:r w:rsidR="004028AC">
              <w:rPr>
                <w:b/>
                <w:bCs/>
                <w:i/>
                <w:iCs/>
                <w:noProof/>
              </w:rPr>
              <w:t>šiame kvietime gali būti prijungiami tie būstai, kur tinklai iki sklypo ribos buvo atvesti iš ankstesnių (pvz. 2018) LAAIF kvietimų</w:t>
            </w:r>
            <w:r w:rsidRPr="00376E0A">
              <w:rPr>
                <w:b/>
                <w:bCs/>
                <w:i/>
                <w:iCs/>
                <w:noProof/>
              </w:rPr>
              <w:t>?</w:t>
            </w:r>
          </w:p>
        </w:tc>
        <w:tc>
          <w:tcPr>
            <w:tcW w:w="7088" w:type="dxa"/>
          </w:tcPr>
          <w:p w14:paraId="172FF66F" w14:textId="77777777" w:rsidR="00376E0A" w:rsidRDefault="004028AC" w:rsidP="00A701AD">
            <w:pPr>
              <w:jc w:val="both"/>
              <w:rPr>
                <w:noProof/>
              </w:rPr>
            </w:pPr>
            <w:r>
              <w:rPr>
                <w:noProof/>
              </w:rPr>
              <w:t>Ne, tokie būstai neturėtų būti įtraukiami į naujo kvietimo paraiškas ir nebus finansuojami, nes dviejuose projektuose būtų dubliuojami pasiekti aplinkosauginiai rodikliai.</w:t>
            </w:r>
          </w:p>
        </w:tc>
      </w:tr>
      <w:tr w:rsidR="00376E0A" w14:paraId="43766860" w14:textId="77777777" w:rsidTr="00F4058A">
        <w:tc>
          <w:tcPr>
            <w:tcW w:w="3964" w:type="dxa"/>
          </w:tcPr>
          <w:p w14:paraId="7A5AE73D" w14:textId="77777777" w:rsidR="00376E0A" w:rsidRPr="00376E0A" w:rsidRDefault="004028AC" w:rsidP="00376E0A">
            <w:pPr>
              <w:rPr>
                <w:b/>
                <w:bCs/>
                <w:i/>
                <w:iCs/>
                <w:noProof/>
              </w:rPr>
            </w:pPr>
            <w:r>
              <w:rPr>
                <w:b/>
                <w:bCs/>
                <w:i/>
                <w:iCs/>
                <w:noProof/>
              </w:rPr>
              <w:t>Pagal privalomų pateikti d</w:t>
            </w:r>
            <w:r w:rsidRPr="004028AC">
              <w:rPr>
                <w:b/>
                <w:bCs/>
                <w:i/>
                <w:iCs/>
                <w:noProof/>
              </w:rPr>
              <w:t>okument</w:t>
            </w:r>
            <w:r>
              <w:rPr>
                <w:b/>
                <w:bCs/>
                <w:i/>
                <w:iCs/>
                <w:noProof/>
              </w:rPr>
              <w:t>ų sąrašą pareiškėjas turi pateikti dokumentą</w:t>
            </w:r>
            <w:r w:rsidRPr="004028AC">
              <w:rPr>
                <w:b/>
                <w:bCs/>
                <w:i/>
                <w:iCs/>
                <w:noProof/>
              </w:rPr>
              <w:t>, kuriuo patvirtinti būstų savininkų/teisėtų jų valdytojų atrankos principai</w:t>
            </w:r>
            <w:r>
              <w:rPr>
                <w:b/>
                <w:bCs/>
                <w:i/>
                <w:iCs/>
                <w:noProof/>
              </w:rPr>
              <w:t>.</w:t>
            </w:r>
            <w:r w:rsidRPr="004028AC">
              <w:rPr>
                <w:b/>
                <w:bCs/>
                <w:i/>
                <w:iCs/>
                <w:noProof/>
              </w:rPr>
              <w:t xml:space="preserve"> </w:t>
            </w:r>
            <w:r w:rsidR="00376E0A" w:rsidRPr="00376E0A">
              <w:rPr>
                <w:b/>
                <w:bCs/>
                <w:i/>
                <w:iCs/>
                <w:noProof/>
              </w:rPr>
              <w:t xml:space="preserve">Ar </w:t>
            </w:r>
            <w:r>
              <w:rPr>
                <w:b/>
                <w:bCs/>
                <w:i/>
                <w:iCs/>
                <w:noProof/>
              </w:rPr>
              <w:t xml:space="preserve">reikalavimai šiai </w:t>
            </w:r>
            <w:r w:rsidR="00376E0A" w:rsidRPr="00376E0A">
              <w:rPr>
                <w:b/>
                <w:bCs/>
                <w:i/>
                <w:iCs/>
                <w:noProof/>
              </w:rPr>
              <w:t>tvarka</w:t>
            </w:r>
            <w:r>
              <w:rPr>
                <w:b/>
                <w:bCs/>
                <w:i/>
                <w:iCs/>
                <w:noProof/>
              </w:rPr>
              <w:t>i</w:t>
            </w:r>
            <w:r w:rsidR="00376E0A" w:rsidRPr="00376E0A">
              <w:rPr>
                <w:b/>
                <w:bCs/>
                <w:i/>
                <w:iCs/>
                <w:noProof/>
              </w:rPr>
              <w:t xml:space="preserve"> </w:t>
            </w:r>
            <w:r>
              <w:rPr>
                <w:b/>
                <w:bCs/>
                <w:i/>
                <w:iCs/>
                <w:noProof/>
              </w:rPr>
              <w:t>yra/</w:t>
            </w:r>
            <w:r w:rsidR="00376E0A" w:rsidRPr="00376E0A">
              <w:rPr>
                <w:b/>
                <w:bCs/>
                <w:i/>
                <w:iCs/>
                <w:noProof/>
              </w:rPr>
              <w:t>bus</w:t>
            </w:r>
            <w:r>
              <w:rPr>
                <w:b/>
                <w:bCs/>
                <w:i/>
                <w:iCs/>
                <w:noProof/>
              </w:rPr>
              <w:t xml:space="preserve"> patvirtinti</w:t>
            </w:r>
            <w:r w:rsidR="00376E0A" w:rsidRPr="00376E0A">
              <w:rPr>
                <w:b/>
                <w:bCs/>
                <w:i/>
                <w:iCs/>
                <w:noProof/>
              </w:rPr>
              <w:t xml:space="preserve"> apraše ir ar bus konkretizuota kas jame turi būti?</w:t>
            </w:r>
          </w:p>
        </w:tc>
        <w:tc>
          <w:tcPr>
            <w:tcW w:w="7088" w:type="dxa"/>
          </w:tcPr>
          <w:p w14:paraId="0C661669" w14:textId="28F14622" w:rsidR="00376E0A" w:rsidRDefault="004028AC" w:rsidP="00A701AD">
            <w:pPr>
              <w:jc w:val="both"/>
              <w:rPr>
                <w:noProof/>
              </w:rPr>
            </w:pPr>
            <w:r>
              <w:rPr>
                <w:noProof/>
              </w:rPr>
              <w:t>Šiuo metu</w:t>
            </w:r>
            <w:r w:rsidR="00A701AD">
              <w:rPr>
                <w:noProof/>
              </w:rPr>
              <w:t xml:space="preserve"> apraše reikalavimai būstų atrankos tvarkai nėra patvirtinti. </w:t>
            </w:r>
            <w:r w:rsidR="00C676CC">
              <w:t>A</w:t>
            </w:r>
            <w:r w:rsidR="00C676CC" w:rsidRPr="00D16147">
              <w:rPr>
                <w:noProof/>
              </w:rPr>
              <w:t>trankos tvarką nustato pareiškėjas ar savivaldybės administracija</w:t>
            </w:r>
            <w:r w:rsidR="00C676CC">
              <w:rPr>
                <w:noProof/>
              </w:rPr>
              <w:t xml:space="preserve"> ir gali</w:t>
            </w:r>
            <w:r w:rsidR="00A701AD">
              <w:rPr>
                <w:noProof/>
              </w:rPr>
              <w:t xml:space="preserve"> laisvai nuspręsti kokia forma šią tvarką apsirašyti ir pasitvirtinti.</w:t>
            </w:r>
            <w:r w:rsidR="00D16147">
              <w:t xml:space="preserve"> </w:t>
            </w:r>
            <w:r w:rsidR="00D16147" w:rsidRPr="00D16147">
              <w:rPr>
                <w:noProof/>
              </w:rPr>
              <w:t>Aprašas nedatalizuoja kokie reikalavimai turi būti išpildomi.</w:t>
            </w:r>
            <w:r w:rsidR="00A701AD">
              <w:rPr>
                <w:noProof/>
              </w:rPr>
              <w:t xml:space="preserve"> </w:t>
            </w:r>
          </w:p>
        </w:tc>
      </w:tr>
      <w:tr w:rsidR="00376E0A" w14:paraId="1450A984" w14:textId="77777777" w:rsidTr="00F4058A">
        <w:tc>
          <w:tcPr>
            <w:tcW w:w="3964" w:type="dxa"/>
          </w:tcPr>
          <w:p w14:paraId="308F077D" w14:textId="77777777" w:rsidR="00376E0A" w:rsidRPr="00376E0A" w:rsidRDefault="00A701AD" w:rsidP="00376E0A">
            <w:pPr>
              <w:rPr>
                <w:b/>
                <w:bCs/>
                <w:i/>
                <w:iCs/>
                <w:noProof/>
              </w:rPr>
            </w:pPr>
            <w:r>
              <w:rPr>
                <w:b/>
                <w:bCs/>
                <w:i/>
                <w:iCs/>
                <w:noProof/>
              </w:rPr>
              <w:t xml:space="preserve">Ar teikiant paraiškas reikia/galima suvesti </w:t>
            </w:r>
            <w:r w:rsidR="00376E0A" w:rsidRPr="00376E0A">
              <w:rPr>
                <w:b/>
                <w:bCs/>
                <w:i/>
                <w:iCs/>
                <w:noProof/>
              </w:rPr>
              <w:t>duomen</w:t>
            </w:r>
            <w:r>
              <w:rPr>
                <w:b/>
                <w:bCs/>
                <w:i/>
                <w:iCs/>
                <w:noProof/>
              </w:rPr>
              <w:t>is</w:t>
            </w:r>
            <w:r w:rsidR="00376E0A" w:rsidRPr="00376E0A">
              <w:rPr>
                <w:b/>
                <w:bCs/>
                <w:i/>
                <w:iCs/>
                <w:noProof/>
              </w:rPr>
              <w:t xml:space="preserve"> </w:t>
            </w:r>
            <w:r>
              <w:rPr>
                <w:b/>
                <w:bCs/>
                <w:i/>
                <w:iCs/>
                <w:noProof/>
              </w:rPr>
              <w:t xml:space="preserve">į </w:t>
            </w:r>
            <w:r w:rsidRPr="00376E0A">
              <w:rPr>
                <w:b/>
                <w:bCs/>
                <w:i/>
                <w:iCs/>
                <w:noProof/>
              </w:rPr>
              <w:t>GIS APVA</w:t>
            </w:r>
            <w:r>
              <w:rPr>
                <w:b/>
                <w:bCs/>
                <w:i/>
                <w:iCs/>
                <w:noProof/>
              </w:rPr>
              <w:t>?</w:t>
            </w:r>
          </w:p>
        </w:tc>
        <w:tc>
          <w:tcPr>
            <w:tcW w:w="7088" w:type="dxa"/>
          </w:tcPr>
          <w:p w14:paraId="7A1F0D5D" w14:textId="79E25962" w:rsidR="00376E0A" w:rsidRPr="006F5F46" w:rsidRDefault="00A701AD" w:rsidP="00376E0A">
            <w:pPr>
              <w:rPr>
                <w:noProof/>
              </w:rPr>
            </w:pPr>
            <w:r>
              <w:rPr>
                <w:noProof/>
              </w:rPr>
              <w:t xml:space="preserve">Teikiant paraišką suvesti duomenų į GIS APVA nereikia. </w:t>
            </w:r>
            <w:r w:rsidR="00D16147">
              <w:rPr>
                <w:noProof/>
              </w:rPr>
              <w:t xml:space="preserve"> </w:t>
            </w:r>
            <w:r w:rsidR="00C676CC">
              <w:rPr>
                <w:noProof/>
              </w:rPr>
              <w:t xml:space="preserve">Sąlyga, kad </w:t>
            </w:r>
            <w:r w:rsidR="00256EF2" w:rsidRPr="00256EF2">
              <w:rPr>
                <w:noProof/>
              </w:rPr>
              <w:t>parengus statybai būtinus dokumentus, informacija apie planuojamus prijungti būstus turi būti suvesta į GIS</w:t>
            </w:r>
            <w:r w:rsidR="00256EF2">
              <w:rPr>
                <w:noProof/>
              </w:rPr>
              <w:t xml:space="preserve"> </w:t>
            </w:r>
            <w:r w:rsidR="00256EF2" w:rsidRPr="00256EF2">
              <w:rPr>
                <w:noProof/>
              </w:rPr>
              <w:t>APVA informacinę sistemą</w:t>
            </w:r>
            <w:r w:rsidR="00256EF2">
              <w:rPr>
                <w:noProof/>
              </w:rPr>
              <w:t xml:space="preserve"> bus numatyta subsidijos teikimo sutartyje</w:t>
            </w:r>
            <w:r w:rsidR="00256EF2" w:rsidRPr="00256EF2">
              <w:rPr>
                <w:noProof/>
              </w:rPr>
              <w:t>.</w:t>
            </w:r>
          </w:p>
        </w:tc>
      </w:tr>
      <w:tr w:rsidR="00376E0A" w14:paraId="0D688041" w14:textId="77777777" w:rsidTr="00F4058A">
        <w:tc>
          <w:tcPr>
            <w:tcW w:w="3964" w:type="dxa"/>
          </w:tcPr>
          <w:p w14:paraId="355053FB" w14:textId="1F996033" w:rsidR="00376E0A" w:rsidRPr="00D35FA1" w:rsidRDefault="00376E0A" w:rsidP="00376E0A">
            <w:pPr>
              <w:rPr>
                <w:b/>
                <w:bCs/>
                <w:noProof/>
              </w:rPr>
            </w:pPr>
            <w:r w:rsidRPr="00D35FA1">
              <w:rPr>
                <w:b/>
                <w:bCs/>
                <w:noProof/>
              </w:rPr>
              <w:t xml:space="preserve">Ar bus privaloma tuos tinklus įteisinti? </w:t>
            </w:r>
          </w:p>
        </w:tc>
        <w:tc>
          <w:tcPr>
            <w:tcW w:w="7088" w:type="dxa"/>
          </w:tcPr>
          <w:p w14:paraId="65B28A17" w14:textId="556B7C04" w:rsidR="00376E0A" w:rsidRDefault="00683C50" w:rsidP="00376E0A">
            <w:pPr>
              <w:rPr>
                <w:noProof/>
              </w:rPr>
            </w:pPr>
            <w:r w:rsidRPr="00683C50">
              <w:rPr>
                <w:noProof/>
              </w:rPr>
              <w:t xml:space="preserve">Pagal LAAIF gyventojų prijungimo aprašo 12.5. </w:t>
            </w:r>
            <w:r>
              <w:rPr>
                <w:noProof/>
              </w:rPr>
              <w:t xml:space="preserve"> punktą </w:t>
            </w:r>
            <w:r w:rsidRPr="00683C50">
              <w:rPr>
                <w:noProof/>
              </w:rPr>
              <w:t>projekto vykdytojas arba gyventojas įsipareigoja įregistruoti gyventojo sklype nutiestus nuotekų surinkimo tinklus</w:t>
            </w:r>
            <w:r>
              <w:rPr>
                <w:noProof/>
              </w:rPr>
              <w:t>.</w:t>
            </w:r>
          </w:p>
        </w:tc>
      </w:tr>
    </w:tbl>
    <w:p w14:paraId="65B9B01C" w14:textId="77777777" w:rsidR="00643E43" w:rsidRDefault="00643E43"/>
    <w:sectPr w:rsidR="00643E43" w:rsidSect="00F4058A">
      <w:headerReference w:type="default" r:id="rId8"/>
      <w:pgSz w:w="12240" w:h="15840"/>
      <w:pgMar w:top="1134"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0950" w14:textId="77777777" w:rsidR="00643E43" w:rsidRDefault="00643E43" w:rsidP="00643E43">
      <w:pPr>
        <w:spacing w:after="0" w:line="240" w:lineRule="auto"/>
      </w:pPr>
      <w:r>
        <w:separator/>
      </w:r>
    </w:p>
  </w:endnote>
  <w:endnote w:type="continuationSeparator" w:id="0">
    <w:p w14:paraId="2C7C96B4" w14:textId="77777777" w:rsidR="00643E43" w:rsidRDefault="00643E43" w:rsidP="0064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FD10" w14:textId="77777777" w:rsidR="00643E43" w:rsidRDefault="00643E43" w:rsidP="00643E43">
      <w:pPr>
        <w:spacing w:after="0" w:line="240" w:lineRule="auto"/>
      </w:pPr>
      <w:r>
        <w:separator/>
      </w:r>
    </w:p>
  </w:footnote>
  <w:footnote w:type="continuationSeparator" w:id="0">
    <w:p w14:paraId="574C6CB3" w14:textId="77777777" w:rsidR="00643E43" w:rsidRDefault="00643E43" w:rsidP="0064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5B7B" w14:textId="77777777" w:rsidR="00643E43" w:rsidRDefault="00643E43">
    <w:pPr>
      <w:pStyle w:val="Header"/>
    </w:pPr>
    <w:r>
      <w:rPr>
        <w:noProof/>
      </w:rPr>
      <w:drawing>
        <wp:inline distT="0" distB="0" distL="0" distR="0" wp14:anchorId="04A03B3B" wp14:editId="120CF4AB">
          <wp:extent cx="2026682"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732" cy="3713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490"/>
    <w:multiLevelType w:val="hybridMultilevel"/>
    <w:tmpl w:val="72D4A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43"/>
    <w:rsid w:val="000A0215"/>
    <w:rsid w:val="000F7C36"/>
    <w:rsid w:val="00256EF2"/>
    <w:rsid w:val="002570B1"/>
    <w:rsid w:val="0033370F"/>
    <w:rsid w:val="0036121C"/>
    <w:rsid w:val="00375B2F"/>
    <w:rsid w:val="00376E0A"/>
    <w:rsid w:val="003E6382"/>
    <w:rsid w:val="004028AC"/>
    <w:rsid w:val="004B0FC4"/>
    <w:rsid w:val="004B2EBC"/>
    <w:rsid w:val="00510E38"/>
    <w:rsid w:val="005D1B02"/>
    <w:rsid w:val="00643E43"/>
    <w:rsid w:val="00656603"/>
    <w:rsid w:val="00683C50"/>
    <w:rsid w:val="006E214B"/>
    <w:rsid w:val="006F5F46"/>
    <w:rsid w:val="0074770F"/>
    <w:rsid w:val="00946F80"/>
    <w:rsid w:val="0099754D"/>
    <w:rsid w:val="00A31F77"/>
    <w:rsid w:val="00A701AD"/>
    <w:rsid w:val="00A96012"/>
    <w:rsid w:val="00AA1295"/>
    <w:rsid w:val="00BA6823"/>
    <w:rsid w:val="00BF0440"/>
    <w:rsid w:val="00C2364A"/>
    <w:rsid w:val="00C676CC"/>
    <w:rsid w:val="00C809DF"/>
    <w:rsid w:val="00C9742C"/>
    <w:rsid w:val="00D16147"/>
    <w:rsid w:val="00D312F9"/>
    <w:rsid w:val="00D35FA1"/>
    <w:rsid w:val="00E63F97"/>
    <w:rsid w:val="00F4058A"/>
    <w:rsid w:val="00F74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BD577"/>
  <w15:chartTrackingRefBased/>
  <w15:docId w15:val="{6EDE4842-21AA-4B56-A095-99710CC4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E43"/>
  </w:style>
  <w:style w:type="paragraph" w:styleId="Footer">
    <w:name w:val="footer"/>
    <w:basedOn w:val="Normal"/>
    <w:link w:val="FooterChar"/>
    <w:uiPriority w:val="99"/>
    <w:unhideWhenUsed/>
    <w:rsid w:val="00643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E43"/>
  </w:style>
  <w:style w:type="table" w:styleId="TableGrid">
    <w:name w:val="Table Grid"/>
    <w:basedOn w:val="TableNormal"/>
    <w:uiPriority w:val="39"/>
    <w:rsid w:val="00D3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754D"/>
    <w:rPr>
      <w:sz w:val="16"/>
      <w:szCs w:val="16"/>
    </w:rPr>
  </w:style>
  <w:style w:type="paragraph" w:styleId="CommentText">
    <w:name w:val="annotation text"/>
    <w:basedOn w:val="Normal"/>
    <w:link w:val="CommentTextChar"/>
    <w:uiPriority w:val="99"/>
    <w:semiHidden/>
    <w:unhideWhenUsed/>
    <w:rsid w:val="0099754D"/>
    <w:pPr>
      <w:spacing w:line="240" w:lineRule="auto"/>
    </w:pPr>
    <w:rPr>
      <w:sz w:val="20"/>
      <w:szCs w:val="20"/>
    </w:rPr>
  </w:style>
  <w:style w:type="character" w:customStyle="1" w:styleId="CommentTextChar">
    <w:name w:val="Comment Text Char"/>
    <w:basedOn w:val="DefaultParagraphFont"/>
    <w:link w:val="CommentText"/>
    <w:uiPriority w:val="99"/>
    <w:semiHidden/>
    <w:rsid w:val="0099754D"/>
    <w:rPr>
      <w:sz w:val="20"/>
      <w:szCs w:val="20"/>
    </w:rPr>
  </w:style>
  <w:style w:type="paragraph" w:styleId="CommentSubject">
    <w:name w:val="annotation subject"/>
    <w:basedOn w:val="CommentText"/>
    <w:next w:val="CommentText"/>
    <w:link w:val="CommentSubjectChar"/>
    <w:uiPriority w:val="99"/>
    <w:semiHidden/>
    <w:unhideWhenUsed/>
    <w:rsid w:val="0099754D"/>
    <w:rPr>
      <w:b/>
      <w:bCs/>
    </w:rPr>
  </w:style>
  <w:style w:type="character" w:customStyle="1" w:styleId="CommentSubjectChar">
    <w:name w:val="Comment Subject Char"/>
    <w:basedOn w:val="CommentTextChar"/>
    <w:link w:val="CommentSubject"/>
    <w:uiPriority w:val="99"/>
    <w:semiHidden/>
    <w:rsid w:val="0099754D"/>
    <w:rPr>
      <w:b/>
      <w:bCs/>
      <w:sz w:val="20"/>
      <w:szCs w:val="20"/>
    </w:rPr>
  </w:style>
  <w:style w:type="paragraph" w:styleId="ListParagraph">
    <w:name w:val="List Paragraph"/>
    <w:basedOn w:val="Normal"/>
    <w:uiPriority w:val="34"/>
    <w:qFormat/>
    <w:rsid w:val="00946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362F6-A567-42D8-9CA8-C44A8D07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4433</Words>
  <Characters>2528</Characters>
  <Application>Microsoft Office Word</Application>
  <DocSecurity>0</DocSecurity>
  <Lines>21</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Naikutė</dc:creator>
  <cp:keywords/>
  <dc:description/>
  <cp:lastModifiedBy>Akvilė Naikutė</cp:lastModifiedBy>
  <cp:revision>8</cp:revision>
  <dcterms:created xsi:type="dcterms:W3CDTF">2021-01-14T06:47:00Z</dcterms:created>
  <dcterms:modified xsi:type="dcterms:W3CDTF">2021-07-02T11:57:00Z</dcterms:modified>
</cp:coreProperties>
</file>