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523E3" w14:textId="47C41707" w:rsidR="00E57D11" w:rsidRDefault="00E57D11" w:rsidP="00E57D11">
      <w:pPr>
        <w:tabs>
          <w:tab w:val="left" w:pos="851"/>
          <w:tab w:val="left" w:pos="1134"/>
        </w:tabs>
        <w:ind w:firstLine="567"/>
        <w:jc w:val="center"/>
        <w:rPr>
          <w:i/>
          <w:iCs/>
          <w:szCs w:val="24"/>
        </w:rPr>
      </w:pPr>
      <w:bookmarkStart w:id="0" w:name="_GoBack"/>
      <w:bookmarkEnd w:id="0"/>
      <w:r w:rsidRPr="00E57D11">
        <w:rPr>
          <w:i/>
          <w:iCs/>
          <w:szCs w:val="24"/>
        </w:rPr>
        <w:t>Pavyzdinė forma</w:t>
      </w:r>
    </w:p>
    <w:p w14:paraId="48B43C10" w14:textId="77777777" w:rsidR="00E57D11" w:rsidRPr="00E57D11" w:rsidRDefault="00E57D11" w:rsidP="00E57D11">
      <w:pPr>
        <w:tabs>
          <w:tab w:val="left" w:pos="851"/>
          <w:tab w:val="left" w:pos="1134"/>
        </w:tabs>
        <w:ind w:firstLine="567"/>
        <w:jc w:val="center"/>
        <w:rPr>
          <w:i/>
          <w:iCs/>
          <w:szCs w:val="24"/>
        </w:rPr>
      </w:pPr>
    </w:p>
    <w:p w14:paraId="4D3C936A" w14:textId="77777777" w:rsidR="00E57D11" w:rsidRPr="00E57D11" w:rsidRDefault="00E57D11" w:rsidP="00E57D11">
      <w:pPr>
        <w:suppressAutoHyphens/>
        <w:jc w:val="center"/>
        <w:rPr>
          <w:rFonts w:eastAsia="Calibri"/>
          <w:sz w:val="16"/>
          <w:szCs w:val="22"/>
          <w:lang w:eastAsia="ar-SA"/>
        </w:rPr>
      </w:pPr>
      <w:r w:rsidRPr="00E57D11">
        <w:rPr>
          <w:rFonts w:eastAsia="Calibri"/>
          <w:sz w:val="16"/>
          <w:szCs w:val="22"/>
          <w:lang w:eastAsia="ar-SA"/>
        </w:rPr>
        <w:t>______________________________</w:t>
      </w:r>
    </w:p>
    <w:p w14:paraId="27F03495" w14:textId="77777777" w:rsidR="00E57D11" w:rsidRPr="00E57D11" w:rsidRDefault="00E57D11" w:rsidP="00E57D11">
      <w:pPr>
        <w:suppressAutoHyphens/>
        <w:jc w:val="center"/>
        <w:rPr>
          <w:rFonts w:eastAsia="Calibri"/>
          <w:sz w:val="16"/>
          <w:szCs w:val="22"/>
          <w:lang w:eastAsia="ar-SA"/>
        </w:rPr>
      </w:pPr>
      <w:r w:rsidRPr="00E57D11">
        <w:rPr>
          <w:rFonts w:eastAsia="Calibri"/>
          <w:sz w:val="16"/>
          <w:szCs w:val="22"/>
          <w:lang w:eastAsia="ar-SA"/>
        </w:rPr>
        <w:t>(Pareiškėjo pavadinimas)</w:t>
      </w:r>
    </w:p>
    <w:p w14:paraId="451E0142" w14:textId="7FAD24B3" w:rsidR="00E57D11" w:rsidRDefault="00E57D11" w:rsidP="00E57D11">
      <w:pPr>
        <w:suppressAutoHyphens/>
        <w:jc w:val="center"/>
        <w:rPr>
          <w:rFonts w:eastAsia="Calibri"/>
          <w:sz w:val="16"/>
          <w:szCs w:val="22"/>
          <w:lang w:eastAsia="ar-SA"/>
        </w:rPr>
      </w:pPr>
    </w:p>
    <w:p w14:paraId="3065EFFF" w14:textId="77777777" w:rsidR="00E57D11" w:rsidRPr="00E57D11" w:rsidRDefault="00E57D11" w:rsidP="00E57D11">
      <w:pPr>
        <w:suppressAutoHyphens/>
        <w:jc w:val="center"/>
        <w:rPr>
          <w:rFonts w:eastAsia="Calibri"/>
          <w:sz w:val="16"/>
          <w:szCs w:val="22"/>
          <w:lang w:eastAsia="ar-SA"/>
        </w:rPr>
      </w:pPr>
    </w:p>
    <w:p w14:paraId="2B23259B" w14:textId="77777777" w:rsidR="00E57D11" w:rsidRPr="00E57D11" w:rsidRDefault="00E57D11" w:rsidP="00E57D11">
      <w:pPr>
        <w:suppressAutoHyphens/>
        <w:jc w:val="center"/>
        <w:rPr>
          <w:rFonts w:eastAsia="Calibri"/>
          <w:sz w:val="16"/>
          <w:szCs w:val="22"/>
          <w:lang w:eastAsia="ar-SA"/>
        </w:rPr>
      </w:pPr>
      <w:r w:rsidRPr="00E57D11">
        <w:rPr>
          <w:rFonts w:eastAsia="Calibri"/>
          <w:sz w:val="16"/>
          <w:szCs w:val="22"/>
          <w:lang w:eastAsia="ar-SA"/>
        </w:rPr>
        <w:t>___________________________________________________________________________________________________________________</w:t>
      </w:r>
    </w:p>
    <w:p w14:paraId="7E6682F9" w14:textId="45E8D6AB" w:rsidR="00E57D11" w:rsidRPr="00E57D11" w:rsidRDefault="00E57D11" w:rsidP="00E57D11">
      <w:pPr>
        <w:suppressAutoHyphens/>
        <w:jc w:val="center"/>
        <w:rPr>
          <w:rFonts w:eastAsia="Calibri"/>
          <w:sz w:val="16"/>
          <w:szCs w:val="22"/>
          <w:lang w:eastAsia="ar-SA"/>
        </w:rPr>
      </w:pPr>
      <w:r w:rsidRPr="00E57D11">
        <w:rPr>
          <w:rFonts w:eastAsia="Calibri"/>
          <w:sz w:val="16"/>
          <w:szCs w:val="22"/>
          <w:lang w:eastAsia="ar-SA"/>
        </w:rPr>
        <w:t>(Juridinio asmens teisinė forma, buveinė, kontaktinė informacija, juridinio asmens kodas, pridėtinės vertės mokesčio mokėtojo kodas, jei juridinis asmuo yra pridėtinės vertės mokesčio mokėtojas)</w:t>
      </w:r>
    </w:p>
    <w:p w14:paraId="3DBB783A" w14:textId="77777777" w:rsidR="00E57D11" w:rsidRPr="00E57D11" w:rsidRDefault="00E57D11" w:rsidP="00E57D11">
      <w:pPr>
        <w:suppressAutoHyphens/>
        <w:jc w:val="both"/>
        <w:rPr>
          <w:rFonts w:eastAsia="Calibri"/>
          <w:szCs w:val="22"/>
          <w:lang w:eastAsia="ar-SA"/>
        </w:rPr>
      </w:pPr>
    </w:p>
    <w:p w14:paraId="5C0026F4" w14:textId="77777777" w:rsidR="00E57D11" w:rsidRPr="00E57D11" w:rsidRDefault="00E57D11" w:rsidP="00E57D11">
      <w:pPr>
        <w:suppressAutoHyphens/>
        <w:jc w:val="both"/>
        <w:rPr>
          <w:rFonts w:eastAsia="Calibri"/>
          <w:szCs w:val="22"/>
          <w:u w:val="single"/>
          <w:lang w:eastAsia="ar-SA"/>
        </w:rPr>
      </w:pPr>
    </w:p>
    <w:p w14:paraId="0CE34F56" w14:textId="3368B81C" w:rsidR="00E57D11" w:rsidRDefault="00E57D11" w:rsidP="00E57D11">
      <w:pPr>
        <w:suppressAutoHyphens/>
        <w:autoSpaceDE w:val="0"/>
        <w:jc w:val="center"/>
        <w:rPr>
          <w:b/>
          <w:bCs/>
          <w:szCs w:val="24"/>
          <w:lang w:eastAsia="ar-SA"/>
        </w:rPr>
      </w:pPr>
      <w:r w:rsidRPr="00E57D11">
        <w:rPr>
          <w:b/>
          <w:bCs/>
          <w:szCs w:val="24"/>
          <w:lang w:eastAsia="ar-SA"/>
        </w:rPr>
        <w:t>PAREIŠKĖJO DEKLARACIJA</w:t>
      </w:r>
    </w:p>
    <w:p w14:paraId="536BD0C1" w14:textId="77777777" w:rsidR="00E57D11" w:rsidRPr="00E57D11" w:rsidRDefault="00E57D11" w:rsidP="00E57D11">
      <w:pPr>
        <w:suppressAutoHyphens/>
        <w:autoSpaceDE w:val="0"/>
        <w:jc w:val="center"/>
        <w:rPr>
          <w:b/>
          <w:bCs/>
          <w:szCs w:val="24"/>
          <w:lang w:eastAsia="ar-SA"/>
        </w:rPr>
      </w:pPr>
    </w:p>
    <w:p w14:paraId="076750EA" w14:textId="77777777" w:rsidR="00E57D11" w:rsidRPr="00E57D11" w:rsidRDefault="00E57D11" w:rsidP="00E57D11">
      <w:pPr>
        <w:shd w:val="clear" w:color="auto" w:fill="FFFFFF"/>
        <w:suppressAutoHyphens/>
        <w:jc w:val="center"/>
        <w:rPr>
          <w:rFonts w:eastAsia="Calibri"/>
          <w:szCs w:val="22"/>
          <w:u w:val="single"/>
          <w:lang w:eastAsia="ar-SA"/>
        </w:rPr>
      </w:pPr>
      <w:r w:rsidRPr="00E57D11">
        <w:rPr>
          <w:rFonts w:eastAsia="Calibri"/>
          <w:szCs w:val="22"/>
          <w:u w:val="single"/>
          <w:lang w:eastAsia="ar-SA"/>
        </w:rPr>
        <w:t>____________</w:t>
      </w:r>
    </w:p>
    <w:p w14:paraId="2197DD1A" w14:textId="77777777" w:rsidR="00E57D11" w:rsidRPr="00E57D11" w:rsidRDefault="00E57D11" w:rsidP="00E57D11">
      <w:pPr>
        <w:shd w:val="clear" w:color="auto" w:fill="FFFFFF"/>
        <w:suppressAutoHyphens/>
        <w:jc w:val="center"/>
        <w:rPr>
          <w:rFonts w:eastAsia="Calibri"/>
          <w:color w:val="000000"/>
          <w:sz w:val="20"/>
          <w:lang w:eastAsia="ar-SA"/>
        </w:rPr>
      </w:pPr>
      <w:r w:rsidRPr="00E57D11">
        <w:rPr>
          <w:rFonts w:eastAsia="Calibri"/>
          <w:color w:val="000000"/>
          <w:sz w:val="20"/>
          <w:lang w:eastAsia="ar-SA"/>
        </w:rPr>
        <w:t xml:space="preserve"> (Data)</w:t>
      </w:r>
    </w:p>
    <w:p w14:paraId="5A09FBD8" w14:textId="77777777" w:rsidR="00E57D11" w:rsidRPr="00E57D11" w:rsidRDefault="00E57D11" w:rsidP="00E57D11">
      <w:pPr>
        <w:shd w:val="clear" w:color="auto" w:fill="FFFFFF"/>
        <w:suppressAutoHyphens/>
        <w:jc w:val="center"/>
        <w:rPr>
          <w:rFonts w:eastAsia="Calibri"/>
          <w:color w:val="000000"/>
          <w:szCs w:val="22"/>
          <w:u w:val="single"/>
          <w:lang w:eastAsia="ar-SA"/>
        </w:rPr>
      </w:pPr>
      <w:r w:rsidRPr="00E57D11">
        <w:rPr>
          <w:rFonts w:eastAsia="Calibri"/>
          <w:color w:val="000000"/>
          <w:szCs w:val="22"/>
          <w:u w:val="single"/>
          <w:lang w:eastAsia="ar-SA"/>
        </w:rPr>
        <w:t>__________________</w:t>
      </w:r>
    </w:p>
    <w:p w14:paraId="4C0F7FA9" w14:textId="77777777" w:rsidR="00E57D11" w:rsidRPr="00E57D11" w:rsidRDefault="00E57D11" w:rsidP="00E57D11">
      <w:pPr>
        <w:shd w:val="clear" w:color="auto" w:fill="FFFFFF"/>
        <w:suppressAutoHyphens/>
        <w:jc w:val="center"/>
        <w:rPr>
          <w:rFonts w:eastAsia="Calibri"/>
          <w:color w:val="000000"/>
          <w:sz w:val="20"/>
          <w:lang w:eastAsia="ar-SA"/>
        </w:rPr>
      </w:pPr>
      <w:r w:rsidRPr="00E57D11">
        <w:rPr>
          <w:rFonts w:eastAsia="Calibri"/>
          <w:color w:val="000000"/>
          <w:sz w:val="20"/>
          <w:lang w:eastAsia="ar-SA"/>
        </w:rPr>
        <w:t>(Sudarymo vieta)</w:t>
      </w:r>
    </w:p>
    <w:tbl>
      <w:tblPr>
        <w:tblW w:w="9828" w:type="dxa"/>
        <w:tblLayout w:type="fixed"/>
        <w:tblLook w:val="0000" w:firstRow="0" w:lastRow="0" w:firstColumn="0" w:lastColumn="0" w:noHBand="0" w:noVBand="0"/>
      </w:tblPr>
      <w:tblGrid>
        <w:gridCol w:w="9828"/>
      </w:tblGrid>
      <w:tr w:rsidR="00E57D11" w:rsidRPr="00E57D11" w14:paraId="0B876B5F" w14:textId="77777777" w:rsidTr="00E57D11">
        <w:tc>
          <w:tcPr>
            <w:tcW w:w="9828" w:type="dxa"/>
          </w:tcPr>
          <w:p w14:paraId="5815C576" w14:textId="77777777" w:rsidR="00E57D11" w:rsidRDefault="00E57D11" w:rsidP="00E57D11">
            <w:pPr>
              <w:suppressAutoHyphens/>
              <w:snapToGrid w:val="0"/>
              <w:jc w:val="both"/>
              <w:rPr>
                <w:lang w:eastAsia="ar-SA"/>
              </w:rPr>
            </w:pPr>
          </w:p>
          <w:p w14:paraId="09A14958" w14:textId="4275A14D" w:rsidR="00E57D11" w:rsidRPr="00E57D11" w:rsidRDefault="00E57D11" w:rsidP="00E57D11">
            <w:pPr>
              <w:suppressAutoHyphens/>
              <w:snapToGrid w:val="0"/>
              <w:jc w:val="both"/>
              <w:rPr>
                <w:lang w:eastAsia="ar-SA"/>
              </w:rPr>
            </w:pPr>
            <w:r w:rsidRPr="00E57D11">
              <w:rPr>
                <w:lang w:eastAsia="ar-SA"/>
              </w:rPr>
              <w:t xml:space="preserve">Aš, </w:t>
            </w:r>
            <w:r w:rsidRPr="00E57D11">
              <w:rPr>
                <w:u w:val="single"/>
                <w:lang w:eastAsia="ar-SA"/>
              </w:rPr>
              <w:t>____________________________________________________________________</w:t>
            </w:r>
            <w:r w:rsidR="00A70D25">
              <w:rPr>
                <w:u w:val="single"/>
                <w:lang w:eastAsia="ar-SA"/>
              </w:rPr>
              <w:t>__</w:t>
            </w:r>
            <w:r w:rsidRPr="00E57D11">
              <w:rPr>
                <w:u w:val="single"/>
                <w:lang w:eastAsia="ar-SA"/>
              </w:rPr>
              <w:t>___</w:t>
            </w:r>
          </w:p>
        </w:tc>
      </w:tr>
      <w:tr w:rsidR="00E57D11" w:rsidRPr="00E57D11" w14:paraId="4F09DA1E" w14:textId="77777777" w:rsidTr="00E57D11">
        <w:tc>
          <w:tcPr>
            <w:tcW w:w="9828" w:type="dxa"/>
          </w:tcPr>
          <w:p w14:paraId="652ECA0A" w14:textId="77777777" w:rsidR="00E57D11" w:rsidRPr="00E57D11" w:rsidRDefault="00E57D11" w:rsidP="00E57D11">
            <w:pPr>
              <w:suppressAutoHyphens/>
              <w:snapToGrid w:val="0"/>
              <w:jc w:val="center"/>
              <w:rPr>
                <w:position w:val="6"/>
                <w:sz w:val="16"/>
                <w:szCs w:val="16"/>
                <w:lang w:eastAsia="ar-SA"/>
              </w:rPr>
            </w:pPr>
            <w:r w:rsidRPr="00E57D11">
              <w:rPr>
                <w:position w:val="6"/>
                <w:sz w:val="16"/>
                <w:szCs w:val="16"/>
                <w:lang w:eastAsia="ar-SA"/>
              </w:rPr>
              <w:t>(Pareiškėjo vadovo ar jo įgalioto asmens pareigų pavadinimas, vardas ir pavardė)</w:t>
            </w:r>
          </w:p>
        </w:tc>
      </w:tr>
      <w:tr w:rsidR="00E57D11" w:rsidRPr="00E57D11" w14:paraId="7EA74128" w14:textId="77777777" w:rsidTr="00E57D11">
        <w:tc>
          <w:tcPr>
            <w:tcW w:w="9828" w:type="dxa"/>
          </w:tcPr>
          <w:p w14:paraId="1D81704E" w14:textId="77777777" w:rsidR="00E57D11" w:rsidRDefault="00E57D11" w:rsidP="00E57D11">
            <w:pPr>
              <w:suppressAutoHyphens/>
              <w:snapToGrid w:val="0"/>
              <w:jc w:val="both"/>
              <w:rPr>
                <w:lang w:eastAsia="ar-SA"/>
              </w:rPr>
            </w:pPr>
          </w:p>
          <w:p w14:paraId="48018DBC" w14:textId="032780B6" w:rsidR="00E57D11" w:rsidRPr="00E57D11" w:rsidRDefault="00E57D11" w:rsidP="00E57D11">
            <w:pPr>
              <w:suppressAutoHyphens/>
              <w:snapToGrid w:val="0"/>
              <w:jc w:val="both"/>
              <w:rPr>
                <w:lang w:eastAsia="ar-SA"/>
              </w:rPr>
            </w:pPr>
            <w:r w:rsidRPr="00E57D11">
              <w:rPr>
                <w:lang w:eastAsia="ar-SA"/>
              </w:rPr>
              <w:t>tvirtinu, kad mano vadovaujama _______</w:t>
            </w:r>
            <w:r>
              <w:rPr>
                <w:lang w:eastAsia="ar-SA"/>
              </w:rPr>
              <w:t>___________________________________________</w:t>
            </w:r>
          </w:p>
        </w:tc>
      </w:tr>
      <w:tr w:rsidR="00E57D11" w:rsidRPr="00E57D11" w14:paraId="2C4C217B" w14:textId="77777777" w:rsidTr="00E57D11">
        <w:tc>
          <w:tcPr>
            <w:tcW w:w="9828" w:type="dxa"/>
          </w:tcPr>
          <w:p w14:paraId="613700DD" w14:textId="37383A76" w:rsidR="00E57D11" w:rsidRDefault="00E57D11" w:rsidP="00E57D11">
            <w:pPr>
              <w:suppressAutoHyphens/>
              <w:snapToGrid w:val="0"/>
              <w:jc w:val="center"/>
              <w:rPr>
                <w:position w:val="6"/>
                <w:sz w:val="16"/>
                <w:szCs w:val="16"/>
                <w:lang w:eastAsia="ar-SA"/>
              </w:rPr>
            </w:pPr>
            <w:r>
              <w:rPr>
                <w:position w:val="6"/>
                <w:sz w:val="16"/>
                <w:szCs w:val="16"/>
                <w:lang w:eastAsia="ar-SA"/>
              </w:rPr>
              <w:t xml:space="preserve">                                                              </w:t>
            </w:r>
            <w:r w:rsidRPr="00E57D11">
              <w:rPr>
                <w:position w:val="6"/>
                <w:sz w:val="16"/>
                <w:szCs w:val="16"/>
                <w:lang w:eastAsia="ar-SA"/>
              </w:rPr>
              <w:t>(</w:t>
            </w:r>
            <w:r>
              <w:rPr>
                <w:position w:val="6"/>
                <w:sz w:val="16"/>
                <w:szCs w:val="16"/>
                <w:lang w:eastAsia="ar-SA"/>
              </w:rPr>
              <w:t>Pareiškėjo</w:t>
            </w:r>
            <w:r w:rsidRPr="00E57D11">
              <w:rPr>
                <w:position w:val="6"/>
                <w:sz w:val="16"/>
                <w:szCs w:val="16"/>
                <w:lang w:eastAsia="ar-SA"/>
              </w:rPr>
              <w:t xml:space="preserve"> pavadinimas)</w:t>
            </w:r>
          </w:p>
          <w:p w14:paraId="717B8FE4" w14:textId="5CB53B38" w:rsidR="00E57D11" w:rsidRPr="00E57D11" w:rsidRDefault="00E57D11" w:rsidP="00E57D11">
            <w:pPr>
              <w:suppressAutoHyphens/>
              <w:snapToGrid w:val="0"/>
              <w:rPr>
                <w:position w:val="6"/>
                <w:szCs w:val="24"/>
                <w:lang w:eastAsia="ar-SA"/>
              </w:rPr>
            </w:pPr>
          </w:p>
        </w:tc>
      </w:tr>
    </w:tbl>
    <w:p w14:paraId="23A5B705" w14:textId="681DC3D9" w:rsidR="00631E9F" w:rsidRDefault="00E57D11" w:rsidP="00E57D11">
      <w:pPr>
        <w:tabs>
          <w:tab w:val="left" w:pos="851"/>
          <w:tab w:val="left" w:pos="1134"/>
        </w:tabs>
        <w:jc w:val="both"/>
        <w:rPr>
          <w:szCs w:val="24"/>
        </w:rPr>
      </w:pPr>
      <w:r w:rsidRPr="00E57D11">
        <w:rPr>
          <w:szCs w:val="24"/>
          <w:lang w:eastAsia="ar-SA"/>
        </w:rPr>
        <w:t>teikianti paraišką</w:t>
      </w:r>
      <w:r>
        <w:rPr>
          <w:position w:val="6"/>
          <w:szCs w:val="24"/>
          <w:lang w:eastAsia="ar-SA"/>
        </w:rPr>
        <w:t xml:space="preserve"> </w:t>
      </w:r>
      <w:r w:rsidRPr="00F33529">
        <w:rPr>
          <w:iCs/>
          <w:noProof/>
          <w:szCs w:val="24"/>
        </w:rPr>
        <w:t xml:space="preserve">pagal </w:t>
      </w:r>
      <w:r>
        <w:rPr>
          <w:noProof/>
          <w:szCs w:val="24"/>
        </w:rPr>
        <w:t>Elektros energijos iš atsinaujinančių išteklių gamybos mažos galios elektrinėse projektų atrankos organizavimo tvarkos aprašą (toliau – Aprašas)</w:t>
      </w:r>
      <w:r>
        <w:rPr>
          <w:szCs w:val="24"/>
        </w:rPr>
        <w:t xml:space="preserve"> atitinka </w:t>
      </w:r>
      <w:r w:rsidRPr="00D653E4">
        <w:rPr>
          <w:rFonts w:asciiTheme="majorBidi" w:hAnsiTheme="majorBidi" w:cstheme="majorBidi"/>
          <w:color w:val="000000"/>
          <w:szCs w:val="24"/>
          <w:lang w:eastAsia="lt-LT"/>
        </w:rPr>
        <w:t>Administravimo aprašo</w:t>
      </w:r>
      <w:r>
        <w:rPr>
          <w:rStyle w:val="Puslapioinaosnuoroda"/>
          <w:rFonts w:asciiTheme="majorBidi" w:hAnsiTheme="majorBidi" w:cstheme="majorBidi"/>
          <w:color w:val="000000"/>
          <w:szCs w:val="24"/>
          <w:lang w:eastAsia="lt-LT"/>
        </w:rPr>
        <w:footnoteReference w:id="1"/>
      </w:r>
      <w:r w:rsidRPr="00D653E4">
        <w:rPr>
          <w:rFonts w:asciiTheme="majorBidi" w:hAnsiTheme="majorBidi" w:cstheme="majorBidi"/>
          <w:color w:val="000000"/>
          <w:szCs w:val="24"/>
          <w:lang w:eastAsia="lt-LT"/>
        </w:rPr>
        <w:t xml:space="preserve"> 10 punkte, Administravimo aprašo 14.1, 14.3, 14.4 papunkčiuose, Aprašo</w:t>
      </w:r>
      <w:r>
        <w:rPr>
          <w:rStyle w:val="Puslapioinaosnuoroda"/>
          <w:rFonts w:asciiTheme="majorBidi" w:hAnsiTheme="majorBidi" w:cstheme="majorBidi"/>
          <w:color w:val="000000"/>
          <w:szCs w:val="24"/>
          <w:lang w:eastAsia="lt-LT"/>
        </w:rPr>
        <w:footnoteReference w:id="2"/>
      </w:r>
      <w:r w:rsidRPr="00D653E4">
        <w:rPr>
          <w:rFonts w:asciiTheme="majorBidi" w:hAnsiTheme="majorBidi" w:cstheme="majorBidi"/>
          <w:color w:val="000000"/>
          <w:szCs w:val="24"/>
          <w:lang w:eastAsia="lt-LT"/>
        </w:rPr>
        <w:t xml:space="preserve"> 10.1, 10.2 papunkčiuose ir Aprašo 12 punkte nustatyt</w:t>
      </w:r>
      <w:r>
        <w:rPr>
          <w:rFonts w:asciiTheme="majorBidi" w:hAnsiTheme="majorBidi" w:cstheme="majorBidi"/>
          <w:color w:val="000000"/>
          <w:szCs w:val="24"/>
          <w:lang w:eastAsia="lt-LT"/>
        </w:rPr>
        <w:t>us</w:t>
      </w:r>
      <w:r w:rsidRPr="00D653E4">
        <w:rPr>
          <w:rFonts w:asciiTheme="majorBidi" w:hAnsiTheme="majorBidi" w:cstheme="majorBidi"/>
          <w:color w:val="000000"/>
          <w:szCs w:val="24"/>
          <w:lang w:eastAsia="lt-LT"/>
        </w:rPr>
        <w:t xml:space="preserve"> reikalavim</w:t>
      </w:r>
      <w:r>
        <w:rPr>
          <w:rFonts w:asciiTheme="majorBidi" w:hAnsiTheme="majorBidi" w:cstheme="majorBidi"/>
          <w:color w:val="000000"/>
          <w:szCs w:val="24"/>
          <w:lang w:eastAsia="lt-LT"/>
        </w:rPr>
        <w:t>us:</w:t>
      </w:r>
    </w:p>
    <w:p w14:paraId="26DE729D" w14:textId="77777777" w:rsidR="00631E9F" w:rsidRPr="00920832" w:rsidRDefault="00631E9F" w:rsidP="00920832">
      <w:pPr>
        <w:tabs>
          <w:tab w:val="left" w:pos="851"/>
          <w:tab w:val="left" w:pos="1134"/>
        </w:tabs>
        <w:ind w:firstLine="567"/>
        <w:jc w:val="center"/>
        <w:rPr>
          <w:szCs w:val="24"/>
        </w:rPr>
      </w:pPr>
    </w:p>
    <w:p w14:paraId="666F9D69" w14:textId="085D54C6" w:rsidR="00920832" w:rsidRDefault="00920832" w:rsidP="00920832">
      <w:pPr>
        <w:tabs>
          <w:tab w:val="left" w:pos="851"/>
          <w:tab w:val="left" w:pos="1134"/>
        </w:tabs>
        <w:ind w:firstLine="567"/>
        <w:jc w:val="both"/>
        <w:rPr>
          <w:szCs w:val="24"/>
        </w:rPr>
      </w:pPr>
      <w:r>
        <w:rPr>
          <w:szCs w:val="24"/>
        </w:rPr>
        <w:t xml:space="preserve">1. įmonė arba atsinaujinančių išteklių energijos bendrija </w:t>
      </w:r>
      <w:r w:rsidR="00631E9F">
        <w:rPr>
          <w:szCs w:val="24"/>
        </w:rPr>
        <w:t>nėra</w:t>
      </w:r>
      <w:r>
        <w:rPr>
          <w:szCs w:val="24"/>
        </w:rPr>
        <w:t xml:space="preserve"> likviduojama arba ūkininko ūkis iš Ūkininkų ūkių registro </w:t>
      </w:r>
      <w:r w:rsidR="00631E9F">
        <w:rPr>
          <w:szCs w:val="24"/>
        </w:rPr>
        <w:t xml:space="preserve">nėra </w:t>
      </w:r>
      <w:r>
        <w:rPr>
          <w:szCs w:val="24"/>
        </w:rPr>
        <w:t>išregistruojamas Lietuvos Respublikos ūkininko ūkio įstatyme nustatyta tvarka;</w:t>
      </w:r>
    </w:p>
    <w:p w14:paraId="62F6A3B4" w14:textId="7E8FE65A" w:rsidR="00920832" w:rsidRDefault="00920832" w:rsidP="00920832">
      <w:pPr>
        <w:tabs>
          <w:tab w:val="left" w:pos="851"/>
          <w:tab w:val="left" w:pos="1134"/>
        </w:tabs>
        <w:ind w:firstLine="567"/>
        <w:jc w:val="both"/>
        <w:rPr>
          <w:szCs w:val="24"/>
        </w:rPr>
      </w:pPr>
      <w:r>
        <w:rPr>
          <w:szCs w:val="24"/>
        </w:rPr>
        <w:t xml:space="preserve">2. </w:t>
      </w:r>
      <w:r w:rsidR="00631E9F">
        <w:rPr>
          <w:color w:val="000000"/>
          <w:szCs w:val="24"/>
        </w:rPr>
        <w:t>nėra</w:t>
      </w:r>
      <w:r>
        <w:rPr>
          <w:color w:val="000000"/>
          <w:szCs w:val="24"/>
        </w:rPr>
        <w:t xml:space="preserve"> iškelta bankroto byla arba restruktūrizavimo byla, </w:t>
      </w:r>
      <w:r w:rsidR="00631E9F">
        <w:rPr>
          <w:color w:val="000000"/>
          <w:szCs w:val="24"/>
        </w:rPr>
        <w:t>nėra</w:t>
      </w:r>
      <w:r>
        <w:rPr>
          <w:color w:val="000000"/>
          <w:szCs w:val="24"/>
        </w:rPr>
        <w:t xml:space="preserve"> pradėtas ikiteisminis tyrimas dėl ekonominės veiklos</w:t>
      </w:r>
      <w:r w:rsidR="009663AB">
        <w:rPr>
          <w:color w:val="000000"/>
          <w:szCs w:val="24"/>
        </w:rPr>
        <w:t>,</w:t>
      </w:r>
      <w:r>
        <w:rPr>
          <w:color w:val="000000"/>
          <w:szCs w:val="24"/>
        </w:rPr>
        <w:t xml:space="preserve"> </w:t>
      </w:r>
      <w:r w:rsidR="00631E9F">
        <w:rPr>
          <w:color w:val="000000"/>
          <w:szCs w:val="24"/>
        </w:rPr>
        <w:t>nėra</w:t>
      </w:r>
      <w:r>
        <w:rPr>
          <w:color w:val="000000"/>
          <w:szCs w:val="24"/>
        </w:rPr>
        <w:t xml:space="preserve"> likvid</w:t>
      </w:r>
      <w:r w:rsidR="009663AB">
        <w:rPr>
          <w:color w:val="000000"/>
          <w:szCs w:val="24"/>
        </w:rPr>
        <w:t>avimo proceso</w:t>
      </w:r>
      <w:r>
        <w:rPr>
          <w:color w:val="000000"/>
          <w:szCs w:val="24"/>
        </w:rPr>
        <w:t xml:space="preserve">, kreditoriai </w:t>
      </w:r>
      <w:r w:rsidR="00631E9F">
        <w:rPr>
          <w:color w:val="000000"/>
          <w:szCs w:val="24"/>
        </w:rPr>
        <w:t>ne</w:t>
      </w:r>
      <w:r>
        <w:rPr>
          <w:color w:val="000000"/>
          <w:szCs w:val="24"/>
        </w:rPr>
        <w:t>vykdo bankroto procedūrų ne teismo tvarka;</w:t>
      </w:r>
    </w:p>
    <w:p w14:paraId="2AF31313" w14:textId="7B14DA8B" w:rsidR="00920832" w:rsidRDefault="00920832" w:rsidP="00920832">
      <w:pPr>
        <w:tabs>
          <w:tab w:val="left" w:pos="851"/>
          <w:tab w:val="left" w:pos="1134"/>
        </w:tabs>
        <w:ind w:firstLine="567"/>
        <w:jc w:val="both"/>
        <w:rPr>
          <w:szCs w:val="24"/>
        </w:rPr>
      </w:pPr>
      <w:r>
        <w:rPr>
          <w:szCs w:val="24"/>
        </w:rPr>
        <w:t xml:space="preserve">3. </w:t>
      </w:r>
      <w:r w:rsidR="00631E9F">
        <w:rPr>
          <w:szCs w:val="24"/>
        </w:rPr>
        <w:t>nėra</w:t>
      </w:r>
      <w:r>
        <w:rPr>
          <w:szCs w:val="24"/>
        </w:rPr>
        <w:t xml:space="preserve"> neįvykd</w:t>
      </w:r>
      <w:r w:rsidR="00631E9F">
        <w:rPr>
          <w:szCs w:val="24"/>
        </w:rPr>
        <w:t>ytų</w:t>
      </w:r>
      <w:r>
        <w:rPr>
          <w:szCs w:val="24"/>
        </w:rPr>
        <w:t xml:space="preserve"> mokesčių ar socialinio draudimo įmokų mokėjimo įsipareigojim</w:t>
      </w:r>
      <w:r w:rsidR="00631E9F">
        <w:rPr>
          <w:szCs w:val="24"/>
        </w:rPr>
        <w:t>ų</w:t>
      </w:r>
      <w:r>
        <w:rPr>
          <w:szCs w:val="24"/>
        </w:rPr>
        <w:t xml:space="preserve"> </w:t>
      </w:r>
      <w:r w:rsidR="00631E9F">
        <w:rPr>
          <w:szCs w:val="24"/>
        </w:rPr>
        <w:t>(</w:t>
      </w:r>
      <w:r>
        <w:rPr>
          <w:szCs w:val="24"/>
        </w:rPr>
        <w:t>išskyrus atvejus, kai šių mokesčių mokėjimas yra atidėtas</w:t>
      </w:r>
      <w:r w:rsidR="00631E9F">
        <w:rPr>
          <w:szCs w:val="24"/>
        </w:rPr>
        <w:t>)</w:t>
      </w:r>
      <w:r>
        <w:rPr>
          <w:szCs w:val="24"/>
        </w:rPr>
        <w:t>;</w:t>
      </w:r>
    </w:p>
    <w:p w14:paraId="4A2F7BD8" w14:textId="41B2FA41" w:rsidR="00920832" w:rsidRPr="00920832" w:rsidRDefault="00920832" w:rsidP="00920832">
      <w:pPr>
        <w:ind w:firstLine="567"/>
        <w:jc w:val="both"/>
        <w:rPr>
          <w:szCs w:val="24"/>
          <w:lang w:eastAsia="lt-LT"/>
        </w:rPr>
      </w:pPr>
      <w:r w:rsidRPr="009663AB">
        <w:rPr>
          <w:szCs w:val="24"/>
          <w:lang w:eastAsia="lt-LT"/>
        </w:rPr>
        <w:t xml:space="preserve">4. </w:t>
      </w:r>
      <w:r w:rsidRPr="00920832">
        <w:rPr>
          <w:rFonts w:eastAsia="Calibri"/>
          <w:szCs w:val="24"/>
          <w:lang w:eastAsia="lt-LT"/>
        </w:rPr>
        <w:t xml:space="preserve">iki 2019 m. gruodžio 31 d. </w:t>
      </w:r>
      <w:r w:rsidR="009663AB">
        <w:rPr>
          <w:rFonts w:eastAsia="Calibri"/>
          <w:szCs w:val="24"/>
          <w:lang w:eastAsia="lt-LT"/>
        </w:rPr>
        <w:t xml:space="preserve">įmonė </w:t>
      </w:r>
      <w:r w:rsidRPr="00920832">
        <w:rPr>
          <w:rFonts w:eastAsia="Calibri"/>
          <w:szCs w:val="24"/>
          <w:lang w:eastAsia="lt-LT"/>
        </w:rPr>
        <w:t>nepatyrė sunkumų</w:t>
      </w:r>
      <w:r w:rsidR="00B14B42">
        <w:rPr>
          <w:rFonts w:eastAsia="Calibri"/>
          <w:szCs w:val="24"/>
          <w:lang w:eastAsia="lt-LT"/>
        </w:rPr>
        <w:t xml:space="preserve">, kaip apibrėžiama </w:t>
      </w:r>
      <w:r w:rsidR="00B14B42">
        <w:rPr>
          <w:szCs w:val="24"/>
        </w:rPr>
        <w:t>2014 m. birželio 17 d. Komisijos reglamente (ES) Nr. 651/2014, kuriuo tam tikrų kategorijų pagalba skelbiama suderinama su vidaus rinka taikant Sutarties 107 ir 108 straipsnius</w:t>
      </w:r>
      <w:r w:rsidR="009663AB">
        <w:rPr>
          <w:rFonts w:eastAsia="Calibri"/>
          <w:szCs w:val="24"/>
          <w:lang w:eastAsia="lt-LT"/>
        </w:rPr>
        <w:t xml:space="preserve">. Įmonė nėra </w:t>
      </w:r>
      <w:r w:rsidRPr="00920832">
        <w:rPr>
          <w:rFonts w:eastAsia="Calibri"/>
          <w:szCs w:val="24"/>
          <w:lang w:eastAsia="lt-LT"/>
        </w:rPr>
        <w:t>neteisėtai ga</w:t>
      </w:r>
      <w:r w:rsidR="009663AB">
        <w:rPr>
          <w:rFonts w:eastAsia="Calibri"/>
          <w:szCs w:val="24"/>
          <w:lang w:eastAsia="lt-LT"/>
        </w:rPr>
        <w:t>vusi</w:t>
      </w:r>
      <w:r w:rsidRPr="00920832">
        <w:rPr>
          <w:rFonts w:eastAsia="Calibri"/>
          <w:szCs w:val="24"/>
          <w:lang w:eastAsia="lt-LT"/>
        </w:rPr>
        <w:t xml:space="preserve"> valstybės pagalb</w:t>
      </w:r>
      <w:r w:rsidR="009663AB">
        <w:rPr>
          <w:rFonts w:eastAsia="Calibri"/>
          <w:szCs w:val="24"/>
          <w:lang w:eastAsia="lt-LT"/>
        </w:rPr>
        <w:t>os</w:t>
      </w:r>
      <w:r w:rsidRPr="00920832">
        <w:rPr>
          <w:rFonts w:eastAsia="Calibri"/>
          <w:szCs w:val="24"/>
          <w:lang w:eastAsia="lt-LT"/>
        </w:rPr>
        <w:t>;</w:t>
      </w:r>
    </w:p>
    <w:p w14:paraId="1AAEF34D" w14:textId="5D7064CC" w:rsidR="00920832" w:rsidRPr="00920832" w:rsidRDefault="00920832" w:rsidP="00B14B42">
      <w:pPr>
        <w:ind w:firstLine="567"/>
        <w:jc w:val="both"/>
        <w:rPr>
          <w:color w:val="000000"/>
          <w:szCs w:val="24"/>
        </w:rPr>
      </w:pPr>
      <w:r w:rsidRPr="00920832">
        <w:rPr>
          <w:szCs w:val="24"/>
        </w:rPr>
        <w:t xml:space="preserve">5. </w:t>
      </w:r>
      <w:r w:rsidR="00631E9F">
        <w:rPr>
          <w:szCs w:val="24"/>
        </w:rPr>
        <w:t>nėra</w:t>
      </w:r>
      <w:r w:rsidRPr="00920832">
        <w:rPr>
          <w:szCs w:val="24"/>
        </w:rPr>
        <w:t xml:space="preserve"> įsiteisėj</w:t>
      </w:r>
      <w:r w:rsidR="00B14B42">
        <w:rPr>
          <w:szCs w:val="24"/>
        </w:rPr>
        <w:t>usių</w:t>
      </w:r>
      <w:r w:rsidRPr="00920832">
        <w:rPr>
          <w:szCs w:val="24"/>
        </w:rPr>
        <w:t xml:space="preserve"> teismo sprendim</w:t>
      </w:r>
      <w:r w:rsidR="00B14B42">
        <w:rPr>
          <w:szCs w:val="24"/>
        </w:rPr>
        <w:t>ų</w:t>
      </w:r>
      <w:r w:rsidRPr="00920832">
        <w:rPr>
          <w:szCs w:val="24"/>
        </w:rPr>
        <w:t xml:space="preserve">, </w:t>
      </w:r>
      <w:r w:rsidR="00B14B42">
        <w:rPr>
          <w:szCs w:val="24"/>
        </w:rPr>
        <w:t xml:space="preserve">dėl </w:t>
      </w:r>
      <w:r w:rsidRPr="00920832">
        <w:rPr>
          <w:szCs w:val="24"/>
        </w:rPr>
        <w:t>pažei</w:t>
      </w:r>
      <w:r w:rsidR="00B14B42">
        <w:rPr>
          <w:szCs w:val="24"/>
        </w:rPr>
        <w:t>stų</w:t>
      </w:r>
      <w:r w:rsidRPr="00920832">
        <w:rPr>
          <w:szCs w:val="24"/>
        </w:rPr>
        <w:t xml:space="preserve"> kit</w:t>
      </w:r>
      <w:r w:rsidR="00B14B42">
        <w:rPr>
          <w:szCs w:val="24"/>
        </w:rPr>
        <w:t>ų</w:t>
      </w:r>
      <w:r w:rsidRPr="00920832">
        <w:rPr>
          <w:szCs w:val="24"/>
        </w:rPr>
        <w:t xml:space="preserve"> sutar</w:t>
      </w:r>
      <w:r w:rsidR="00B14B42">
        <w:rPr>
          <w:szCs w:val="24"/>
        </w:rPr>
        <w:t>čių</w:t>
      </w:r>
      <w:r w:rsidRPr="00920832">
        <w:rPr>
          <w:szCs w:val="24"/>
        </w:rPr>
        <w:t xml:space="preserve"> dėl paramos skyrimo iš Europos Sąjungos arba Lietuvos Respublikos valstybės biudžeto lėšų</w:t>
      </w:r>
      <w:r w:rsidR="00B14B42">
        <w:rPr>
          <w:szCs w:val="24"/>
        </w:rPr>
        <w:t>;</w:t>
      </w:r>
    </w:p>
    <w:p w14:paraId="44B87EAE" w14:textId="3BB9BB7B" w:rsidR="00920832" w:rsidRPr="00920832" w:rsidRDefault="00920832" w:rsidP="00920832">
      <w:pPr>
        <w:tabs>
          <w:tab w:val="left" w:pos="851"/>
          <w:tab w:val="left" w:pos="1134"/>
        </w:tabs>
        <w:ind w:firstLine="567"/>
        <w:jc w:val="both"/>
        <w:rPr>
          <w:szCs w:val="24"/>
        </w:rPr>
      </w:pPr>
      <w:r w:rsidRPr="00920832">
        <w:lastRenderedPageBreak/>
        <w:t>6.</w:t>
      </w:r>
      <w:r w:rsidRPr="00920832">
        <w:rPr>
          <w:szCs w:val="24"/>
        </w:rPr>
        <w:t xml:space="preserve"> </w:t>
      </w:r>
      <w:r w:rsidR="00B14B42">
        <w:rPr>
          <w:szCs w:val="24"/>
        </w:rPr>
        <w:t>n</w:t>
      </w:r>
      <w:r w:rsidR="00C906F3">
        <w:rPr>
          <w:szCs w:val="24"/>
        </w:rPr>
        <w:t>ėra</w:t>
      </w:r>
      <w:r w:rsidRPr="00920832">
        <w:rPr>
          <w:szCs w:val="24"/>
        </w:rPr>
        <w:t xml:space="preserve"> g</w:t>
      </w:r>
      <w:r w:rsidR="00C906F3">
        <w:rPr>
          <w:szCs w:val="24"/>
        </w:rPr>
        <w:t>autos</w:t>
      </w:r>
      <w:r w:rsidRPr="00920832">
        <w:rPr>
          <w:szCs w:val="24"/>
        </w:rPr>
        <w:t xml:space="preserve"> param</w:t>
      </w:r>
      <w:r w:rsidR="00B14B42">
        <w:rPr>
          <w:szCs w:val="24"/>
        </w:rPr>
        <w:t>os</w:t>
      </w:r>
      <w:r w:rsidRPr="00920832">
        <w:rPr>
          <w:szCs w:val="24"/>
        </w:rPr>
        <w:t xml:space="preserve">, kurią Europos Komisija </w:t>
      </w:r>
      <w:r w:rsidR="00AB2867">
        <w:rPr>
          <w:szCs w:val="24"/>
        </w:rPr>
        <w:t>būtų</w:t>
      </w:r>
      <w:r w:rsidRPr="00920832">
        <w:rPr>
          <w:szCs w:val="24"/>
        </w:rPr>
        <w:t xml:space="preserve"> pripažinusi kaip neteisėtą ir nesuderintą su vidaus rinka </w:t>
      </w:r>
      <w:r w:rsidR="00B14B42">
        <w:rPr>
          <w:szCs w:val="24"/>
        </w:rPr>
        <w:t xml:space="preserve">(arba </w:t>
      </w:r>
      <w:r w:rsidRPr="00920832">
        <w:rPr>
          <w:szCs w:val="24"/>
        </w:rPr>
        <w:t xml:space="preserve">esant atitinkamų institucijų sprendimui </w:t>
      </w:r>
      <w:r w:rsidR="00C906F3">
        <w:rPr>
          <w:szCs w:val="24"/>
        </w:rPr>
        <w:t>parama</w:t>
      </w:r>
      <w:r w:rsidRPr="00920832">
        <w:rPr>
          <w:szCs w:val="24"/>
        </w:rPr>
        <w:t xml:space="preserve"> </w:t>
      </w:r>
      <w:r w:rsidR="00C906F3">
        <w:rPr>
          <w:szCs w:val="24"/>
        </w:rPr>
        <w:t xml:space="preserve">yra </w:t>
      </w:r>
      <w:r w:rsidRPr="00920832">
        <w:rPr>
          <w:szCs w:val="24"/>
        </w:rPr>
        <w:t>gr</w:t>
      </w:r>
      <w:r w:rsidR="00C906F3">
        <w:rPr>
          <w:szCs w:val="24"/>
        </w:rPr>
        <w:t>ą</w:t>
      </w:r>
      <w:r w:rsidRPr="00920832">
        <w:rPr>
          <w:szCs w:val="24"/>
        </w:rPr>
        <w:t>žin</w:t>
      </w:r>
      <w:r w:rsidR="00C906F3">
        <w:rPr>
          <w:szCs w:val="24"/>
        </w:rPr>
        <w:t>ta</w:t>
      </w:r>
      <w:r w:rsidR="00B14B42">
        <w:rPr>
          <w:szCs w:val="24"/>
        </w:rPr>
        <w:t>)</w:t>
      </w:r>
      <w:r w:rsidRPr="00920832">
        <w:rPr>
          <w:szCs w:val="24"/>
        </w:rPr>
        <w:t>;</w:t>
      </w:r>
    </w:p>
    <w:p w14:paraId="74E0AB68" w14:textId="2AFE52A4" w:rsidR="00920832" w:rsidRDefault="00920832" w:rsidP="00920832">
      <w:pPr>
        <w:ind w:firstLine="567"/>
        <w:jc w:val="both"/>
        <w:rPr>
          <w:sz w:val="22"/>
        </w:rPr>
      </w:pPr>
      <w:r>
        <w:t>7. įrenginiams, dėl kurių kreipia</w:t>
      </w:r>
      <w:r w:rsidR="00C906F3">
        <w:t>ma</w:t>
      </w:r>
      <w:r>
        <w:t xml:space="preserve">si finansinei paramai gauti, įsigyti po 2011 m. gegužės 24 d. </w:t>
      </w:r>
      <w:r w:rsidR="00C906F3">
        <w:t>ne</w:t>
      </w:r>
      <w:r>
        <w:t>pasinaudoj</w:t>
      </w:r>
      <w:r w:rsidR="00AB2867">
        <w:t>au</w:t>
      </w:r>
      <w:r>
        <w:t xml:space="preserve"> Atsinaujinančių </w:t>
      </w:r>
      <w:r>
        <w:rPr>
          <w:color w:val="000000"/>
        </w:rPr>
        <w:t>išteklių energetikos įstatym</w:t>
      </w:r>
      <w:r>
        <w:t xml:space="preserve">o </w:t>
      </w:r>
      <w:r>
        <w:br/>
        <w:t>20 straipsnio 24 dalyje nurodytais paramos šaltiniais;</w:t>
      </w:r>
    </w:p>
    <w:p w14:paraId="3372E1C5" w14:textId="4F1F275A" w:rsidR="00AB2867" w:rsidRDefault="00920832" w:rsidP="00AB2867">
      <w:pPr>
        <w:ind w:firstLine="567"/>
        <w:jc w:val="both"/>
      </w:pPr>
      <w:r>
        <w:t>8. įrenginiams, dėl kurių kreipia</w:t>
      </w:r>
      <w:r w:rsidR="00C906F3">
        <w:t>ma</w:t>
      </w:r>
      <w:r>
        <w:t xml:space="preserve">si finansinei paramai gauti, įsigyti po 2011 m. gegužės 24 d. Atsinaujinančių </w:t>
      </w:r>
      <w:r>
        <w:rPr>
          <w:color w:val="000000"/>
        </w:rPr>
        <w:t>išteklių energetikos įstatym</w:t>
      </w:r>
      <w:r>
        <w:t xml:space="preserve">o nustatyta tvarka </w:t>
      </w:r>
      <w:r w:rsidR="00C906F3">
        <w:t>nes</w:t>
      </w:r>
      <w:r w:rsidR="00AB2867">
        <w:t>u</w:t>
      </w:r>
      <w:r>
        <w:t xml:space="preserve"> įgiję</w:t>
      </w:r>
      <w:r w:rsidR="00AB2867">
        <w:t>s</w:t>
      </w:r>
      <w:r>
        <w:t xml:space="preserve"> teis</w:t>
      </w:r>
      <w:r w:rsidR="00C906F3">
        <w:t>ės</w:t>
      </w:r>
      <w:r>
        <w:t xml:space="preserve"> į fiksuotą elektros energijos iš atsinaujinančių išteklių tarifą ar elektros energijos iš atsinaujinančių išteklių kainos priedą;</w:t>
      </w:r>
    </w:p>
    <w:p w14:paraId="66168A3B" w14:textId="4A55D8A0" w:rsidR="00920832" w:rsidRPr="00AB2867" w:rsidRDefault="00920832" w:rsidP="00AB2867">
      <w:pPr>
        <w:ind w:firstLine="567"/>
        <w:jc w:val="both"/>
      </w:pPr>
      <w:r>
        <w:rPr>
          <w:szCs w:val="24"/>
        </w:rPr>
        <w:t xml:space="preserve">9. </w:t>
      </w:r>
      <w:r>
        <w:rPr>
          <w:color w:val="000000"/>
          <w:szCs w:val="24"/>
        </w:rPr>
        <w:t>projekto paraiškos teikėjas arba jo atstovas (atstovai), turintis (turintys) teisę projekto paraiškos teikėjo vardu sudaryti sandorį (sandorius), buhalteris arba kitas asmuo, turintis teisę surašyti ir pasirašyti projekto paraiškos teikėjo apskaitos dokumentus, </w:t>
      </w:r>
      <w:r w:rsidR="00AB2867">
        <w:rPr>
          <w:color w:val="000000"/>
          <w:szCs w:val="24"/>
        </w:rPr>
        <w:t>ne</w:t>
      </w:r>
      <w:r>
        <w:rPr>
          <w:color w:val="000000"/>
          <w:szCs w:val="24"/>
        </w:rPr>
        <w:t>turi neišnykus</w:t>
      </w:r>
      <w:r w:rsidR="00AB2867">
        <w:rPr>
          <w:color w:val="000000"/>
          <w:szCs w:val="24"/>
        </w:rPr>
        <w:t>io</w:t>
      </w:r>
      <w:r>
        <w:rPr>
          <w:color w:val="000000"/>
          <w:szCs w:val="24"/>
        </w:rPr>
        <w:t xml:space="preserve"> arba nepanaikint</w:t>
      </w:r>
      <w:r w:rsidR="00AB2867">
        <w:rPr>
          <w:color w:val="000000"/>
          <w:szCs w:val="24"/>
        </w:rPr>
        <w:t>o</w:t>
      </w:r>
      <w:r>
        <w:rPr>
          <w:color w:val="000000"/>
          <w:szCs w:val="24"/>
        </w:rPr>
        <w:t xml:space="preserve"> teistum</w:t>
      </w:r>
      <w:r w:rsidR="00AB2867">
        <w:rPr>
          <w:color w:val="000000"/>
          <w:szCs w:val="24"/>
        </w:rPr>
        <w:t>o, d</w:t>
      </w:r>
      <w:r>
        <w:rPr>
          <w:color w:val="000000"/>
          <w:szCs w:val="24"/>
        </w:rPr>
        <w:t xml:space="preserve">ėl jų per pastaruosius 5 metus </w:t>
      </w:r>
      <w:r w:rsidR="00AB2867">
        <w:rPr>
          <w:color w:val="000000"/>
          <w:szCs w:val="24"/>
        </w:rPr>
        <w:t>ne</w:t>
      </w:r>
      <w:r>
        <w:rPr>
          <w:color w:val="000000"/>
          <w:szCs w:val="24"/>
        </w:rPr>
        <w:t xml:space="preserve">buvo priimtas ir įsiteisėjęs apkaltinamasis teismo nuosprendis už dalyvavimą nusikalstamame susivienijime, jo organizavimą ar vadovavimą jam,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w:t>
      </w:r>
    </w:p>
    <w:p w14:paraId="02C04F53" w14:textId="77777777" w:rsidR="00E57D11" w:rsidRDefault="00920832" w:rsidP="00E57D11">
      <w:pPr>
        <w:tabs>
          <w:tab w:val="left" w:pos="851"/>
          <w:tab w:val="left" w:pos="1134"/>
        </w:tabs>
        <w:ind w:firstLine="567"/>
        <w:jc w:val="both"/>
        <w:rPr>
          <w:szCs w:val="24"/>
        </w:rPr>
      </w:pPr>
      <w:r>
        <w:rPr>
          <w:szCs w:val="24"/>
        </w:rPr>
        <w:t xml:space="preserve">10. </w:t>
      </w:r>
      <w:r w:rsidR="00C906F3">
        <w:t>nesu</w:t>
      </w:r>
      <w:r>
        <w:t xml:space="preserve"> pažeidęs teisės aktų, reglamentuojančių finansinę atskaitomybę, reikalavimus per pastaruosius 5 metus.</w:t>
      </w:r>
    </w:p>
    <w:p w14:paraId="6F6BB475" w14:textId="77777777" w:rsidR="007C77F9" w:rsidRDefault="00C906F3" w:rsidP="007C77F9">
      <w:pPr>
        <w:tabs>
          <w:tab w:val="left" w:pos="851"/>
          <w:tab w:val="left" w:pos="1134"/>
        </w:tabs>
        <w:ind w:firstLine="567"/>
        <w:jc w:val="both"/>
        <w:rPr>
          <w:rFonts w:eastAsia="Courier New"/>
        </w:rPr>
      </w:pPr>
      <w:r w:rsidRPr="00C906F3">
        <w:rPr>
          <w:rFonts w:eastAsia="Courier New"/>
        </w:rPr>
        <w:t>1</w:t>
      </w:r>
      <w:r w:rsidR="00920832">
        <w:rPr>
          <w:rFonts w:eastAsia="Courier New"/>
        </w:rPr>
        <w:t xml:space="preserve">1. projektas </w:t>
      </w:r>
      <w:r w:rsidR="00AB2867">
        <w:rPr>
          <w:rFonts w:eastAsia="Courier New"/>
        </w:rPr>
        <w:t xml:space="preserve">bus </w:t>
      </w:r>
      <w:r w:rsidR="00920832">
        <w:rPr>
          <w:rFonts w:eastAsia="Courier New"/>
        </w:rPr>
        <w:t>skirtas saulės arba vėjo energiją naudojančiai elektrinei statyti ar įrengti;</w:t>
      </w:r>
    </w:p>
    <w:p w14:paraId="445F2069" w14:textId="77777777" w:rsidR="007C77F9" w:rsidRDefault="00C906F3" w:rsidP="007C77F9">
      <w:pPr>
        <w:tabs>
          <w:tab w:val="left" w:pos="851"/>
          <w:tab w:val="left" w:pos="1134"/>
        </w:tabs>
        <w:ind w:firstLine="567"/>
        <w:jc w:val="both"/>
        <w:rPr>
          <w:szCs w:val="24"/>
        </w:rPr>
      </w:pPr>
      <w:r>
        <w:rPr>
          <w:szCs w:val="24"/>
        </w:rPr>
        <w:t>12</w:t>
      </w:r>
      <w:r w:rsidR="00920832">
        <w:rPr>
          <w:szCs w:val="24"/>
        </w:rPr>
        <w:t>.</w:t>
      </w:r>
      <w:r w:rsidR="007C77F9">
        <w:rPr>
          <w:szCs w:val="24"/>
        </w:rPr>
        <w:t xml:space="preserve"> </w:t>
      </w:r>
      <w:r w:rsidR="00920832">
        <w:rPr>
          <w:szCs w:val="24"/>
        </w:rPr>
        <w:t>projektas</w:t>
      </w:r>
      <w:r w:rsidR="00AB2867">
        <w:rPr>
          <w:szCs w:val="24"/>
        </w:rPr>
        <w:t xml:space="preserve"> bus</w:t>
      </w:r>
      <w:r w:rsidR="00920832">
        <w:rPr>
          <w:szCs w:val="24"/>
        </w:rPr>
        <w:t xml:space="preserve"> įgyvendinamas projekto paraiškos teikėjo nuosavybės teise ar kitais teisėtais pagrindais ne mažiau kaip 15 metų valdomame turte; </w:t>
      </w:r>
    </w:p>
    <w:p w14:paraId="065377B3" w14:textId="77777777" w:rsidR="007C77F9" w:rsidRDefault="00920832" w:rsidP="007C77F9">
      <w:pPr>
        <w:tabs>
          <w:tab w:val="left" w:pos="851"/>
          <w:tab w:val="left" w:pos="1134"/>
        </w:tabs>
        <w:ind w:firstLine="567"/>
        <w:jc w:val="both"/>
        <w:rPr>
          <w:szCs w:val="24"/>
        </w:rPr>
      </w:pPr>
      <w:r>
        <w:rPr>
          <w:szCs w:val="24"/>
        </w:rPr>
        <w:t>1</w:t>
      </w:r>
      <w:r w:rsidR="00C906F3">
        <w:rPr>
          <w:szCs w:val="24"/>
        </w:rPr>
        <w:t>3</w:t>
      </w:r>
      <w:r>
        <w:rPr>
          <w:szCs w:val="24"/>
        </w:rPr>
        <w:t>.</w:t>
      </w:r>
      <w:r w:rsidR="007C77F9">
        <w:rPr>
          <w:szCs w:val="24"/>
        </w:rPr>
        <w:t xml:space="preserve"> </w:t>
      </w:r>
      <w:r>
        <w:rPr>
          <w:szCs w:val="24"/>
        </w:rPr>
        <w:t>su elektrine, dėl kurios kreipiamasi, nedalyvaujama ir neketinama dalyvauti skatinimo kvotų paskirstymo aukcione</w:t>
      </w:r>
      <w:r w:rsidR="00AB2867">
        <w:rPr>
          <w:szCs w:val="24"/>
        </w:rPr>
        <w:t>;</w:t>
      </w:r>
    </w:p>
    <w:p w14:paraId="7023CE67" w14:textId="1F89D4D6" w:rsidR="007C77F9" w:rsidRDefault="00920832" w:rsidP="007C77F9">
      <w:pPr>
        <w:tabs>
          <w:tab w:val="left" w:pos="851"/>
          <w:tab w:val="left" w:pos="1134"/>
        </w:tabs>
        <w:ind w:firstLine="567"/>
        <w:jc w:val="both"/>
        <w:rPr>
          <w:szCs w:val="24"/>
        </w:rPr>
      </w:pPr>
      <w:r>
        <w:rPr>
          <w:szCs w:val="24"/>
        </w:rPr>
        <w:t>1</w:t>
      </w:r>
      <w:r w:rsidR="00E57D11" w:rsidRPr="00E57D11">
        <w:rPr>
          <w:szCs w:val="24"/>
        </w:rPr>
        <w:t>4</w:t>
      </w:r>
      <w:r>
        <w:rPr>
          <w:szCs w:val="24"/>
        </w:rPr>
        <w:t>.</w:t>
      </w:r>
      <w:r w:rsidR="007C77F9">
        <w:rPr>
          <w:szCs w:val="24"/>
        </w:rPr>
        <w:t xml:space="preserve"> paraišką teikia </w:t>
      </w:r>
      <w:r>
        <w:rPr>
          <w:szCs w:val="24"/>
        </w:rPr>
        <w:t>atsinaujinančių išteklių energijos bendrij</w:t>
      </w:r>
      <w:r w:rsidR="007C77F9">
        <w:rPr>
          <w:szCs w:val="24"/>
        </w:rPr>
        <w:t>a,</w:t>
      </w:r>
      <w:r>
        <w:rPr>
          <w:szCs w:val="24"/>
        </w:rPr>
        <w:t xml:space="preserve"> labai maž</w:t>
      </w:r>
      <w:r w:rsidR="007C77F9">
        <w:rPr>
          <w:szCs w:val="24"/>
        </w:rPr>
        <w:t>a</w:t>
      </w:r>
      <w:r>
        <w:rPr>
          <w:szCs w:val="24"/>
        </w:rPr>
        <w:t>, maž</w:t>
      </w:r>
      <w:r w:rsidR="007C77F9">
        <w:rPr>
          <w:szCs w:val="24"/>
        </w:rPr>
        <w:t>a</w:t>
      </w:r>
      <w:r>
        <w:rPr>
          <w:szCs w:val="24"/>
        </w:rPr>
        <w:t xml:space="preserve"> </w:t>
      </w:r>
      <w:r w:rsidR="007C77F9">
        <w:rPr>
          <w:szCs w:val="24"/>
        </w:rPr>
        <w:t>a</w:t>
      </w:r>
      <w:r>
        <w:rPr>
          <w:szCs w:val="24"/>
        </w:rPr>
        <w:t>r vidutinė įmonė</w:t>
      </w:r>
      <w:r w:rsidR="007C77F9">
        <w:rPr>
          <w:szCs w:val="24"/>
        </w:rPr>
        <w:t>;</w:t>
      </w:r>
    </w:p>
    <w:p w14:paraId="056268EF" w14:textId="16A96348" w:rsidR="00920832" w:rsidRDefault="00920832" w:rsidP="007C77F9">
      <w:pPr>
        <w:tabs>
          <w:tab w:val="left" w:pos="851"/>
          <w:tab w:val="left" w:pos="1134"/>
        </w:tabs>
        <w:ind w:firstLine="567"/>
        <w:jc w:val="both"/>
        <w:rPr>
          <w:szCs w:val="24"/>
        </w:rPr>
      </w:pPr>
      <w:r>
        <w:rPr>
          <w:bCs/>
          <w:szCs w:val="24"/>
        </w:rPr>
        <w:t>1</w:t>
      </w:r>
      <w:r w:rsidR="00E57D11">
        <w:rPr>
          <w:bCs/>
          <w:szCs w:val="24"/>
        </w:rPr>
        <w:t>5</w:t>
      </w:r>
      <w:r>
        <w:rPr>
          <w:bCs/>
          <w:szCs w:val="24"/>
        </w:rPr>
        <w:t>.</w:t>
      </w:r>
      <w:r w:rsidR="007C77F9">
        <w:rPr>
          <w:bCs/>
          <w:szCs w:val="24"/>
        </w:rPr>
        <w:t xml:space="preserve"> man žinoma, kad p</w:t>
      </w:r>
      <w:r>
        <w:rPr>
          <w:szCs w:val="24"/>
        </w:rPr>
        <w:t xml:space="preserve">agal kvietimą vienas pareiškėjas gali teikti tik vieną paraišką mažos galios saulės arba vėjo energiją naudojančiai elektrinei statyti ar įrengti. </w:t>
      </w:r>
    </w:p>
    <w:p w14:paraId="0B121AB8" w14:textId="0F90E69A" w:rsidR="00920832" w:rsidRDefault="00920832"/>
    <w:p w14:paraId="44EB55F2" w14:textId="134D0101" w:rsidR="00E57D11" w:rsidRDefault="00E57D11"/>
    <w:p w14:paraId="189C7822" w14:textId="7503A0AE" w:rsidR="00E57D11" w:rsidRDefault="00E57D11" w:rsidP="00E57D11">
      <w:pPr>
        <w:suppressAutoHyphens/>
        <w:snapToGrid w:val="0"/>
        <w:jc w:val="both"/>
        <w:rPr>
          <w:lang w:eastAsia="ar-SA"/>
        </w:rPr>
      </w:pPr>
    </w:p>
    <w:p w14:paraId="27383583" w14:textId="3269B7A2" w:rsidR="00EB79C9" w:rsidRDefault="00EB79C9" w:rsidP="00E57D11">
      <w:pPr>
        <w:suppressAutoHyphens/>
        <w:snapToGrid w:val="0"/>
        <w:jc w:val="both"/>
        <w:rPr>
          <w:lang w:eastAsia="ar-SA"/>
        </w:rPr>
      </w:pPr>
    </w:p>
    <w:p w14:paraId="1CB6A1EA" w14:textId="77777777" w:rsidR="00EB79C9" w:rsidRPr="00E57D11" w:rsidRDefault="00EB79C9" w:rsidP="00E57D11">
      <w:pPr>
        <w:suppressAutoHyphens/>
        <w:snapToGrid w:val="0"/>
        <w:jc w:val="both"/>
        <w:rPr>
          <w:lang w:eastAsia="ar-SA"/>
        </w:rPr>
      </w:pPr>
    </w:p>
    <w:p w14:paraId="45B96374" w14:textId="19CBB3DA" w:rsidR="00E57D11" w:rsidRPr="00E57D11" w:rsidRDefault="00E57D11" w:rsidP="00E57D11">
      <w:pPr>
        <w:suppressAutoHyphens/>
        <w:snapToGrid w:val="0"/>
        <w:jc w:val="both"/>
        <w:rPr>
          <w:lang w:eastAsia="ar-SA"/>
        </w:rPr>
      </w:pPr>
      <w:r w:rsidRPr="00E57D11">
        <w:rPr>
          <w:lang w:eastAsia="ar-SA"/>
        </w:rPr>
        <w:t xml:space="preserve">         </w:t>
      </w:r>
      <w:r w:rsidRPr="00E57D11">
        <w:rPr>
          <w:lang w:eastAsia="ar-SA"/>
        </w:rPr>
        <w:tab/>
      </w:r>
      <w:r w:rsidRPr="00E57D11">
        <w:rPr>
          <w:lang w:eastAsia="ar-SA"/>
        </w:rPr>
        <w:tab/>
      </w:r>
      <w:r w:rsidRPr="00E57D11">
        <w:rPr>
          <w:lang w:eastAsia="ar-SA"/>
        </w:rPr>
        <w:tab/>
      </w:r>
      <w:r w:rsidRPr="00E57D11">
        <w:rPr>
          <w:lang w:eastAsia="ar-SA"/>
        </w:rPr>
        <w:tab/>
        <w:t xml:space="preserve">    </w:t>
      </w:r>
    </w:p>
    <w:tbl>
      <w:tblPr>
        <w:tblW w:w="0" w:type="auto"/>
        <w:tblLayout w:type="fixed"/>
        <w:tblLook w:val="0000" w:firstRow="0" w:lastRow="0" w:firstColumn="0" w:lastColumn="0" w:noHBand="0" w:noVBand="0"/>
      </w:tblPr>
      <w:tblGrid>
        <w:gridCol w:w="3284"/>
        <w:gridCol w:w="604"/>
        <w:gridCol w:w="1980"/>
        <w:gridCol w:w="701"/>
        <w:gridCol w:w="2611"/>
        <w:gridCol w:w="648"/>
      </w:tblGrid>
      <w:tr w:rsidR="00E57D11" w:rsidRPr="00E57D11" w14:paraId="31F1B963" w14:textId="77777777" w:rsidTr="00E80142">
        <w:tc>
          <w:tcPr>
            <w:tcW w:w="3284" w:type="dxa"/>
            <w:tcBorders>
              <w:bottom w:val="single" w:sz="4" w:space="0" w:color="000000"/>
            </w:tcBorders>
          </w:tcPr>
          <w:p w14:paraId="74292E55" w14:textId="77777777" w:rsidR="00E57D11" w:rsidRPr="00E57D11" w:rsidRDefault="00E57D11" w:rsidP="00E57D11">
            <w:pPr>
              <w:suppressAutoHyphens/>
              <w:snapToGrid w:val="0"/>
              <w:rPr>
                <w:rFonts w:eastAsia="Calibri"/>
                <w:sz w:val="12"/>
                <w:szCs w:val="22"/>
                <w:lang w:eastAsia="ar-SA"/>
              </w:rPr>
            </w:pPr>
          </w:p>
        </w:tc>
        <w:tc>
          <w:tcPr>
            <w:tcW w:w="604" w:type="dxa"/>
          </w:tcPr>
          <w:p w14:paraId="6AE360DF" w14:textId="77777777" w:rsidR="00E57D11" w:rsidRPr="00E57D11" w:rsidRDefault="00E57D11" w:rsidP="00E57D11">
            <w:pPr>
              <w:suppressAutoHyphens/>
              <w:snapToGrid w:val="0"/>
              <w:jc w:val="center"/>
              <w:rPr>
                <w:rFonts w:eastAsia="Calibri"/>
                <w:sz w:val="12"/>
                <w:szCs w:val="22"/>
                <w:lang w:eastAsia="ar-SA"/>
              </w:rPr>
            </w:pPr>
          </w:p>
        </w:tc>
        <w:tc>
          <w:tcPr>
            <w:tcW w:w="1980" w:type="dxa"/>
            <w:tcBorders>
              <w:bottom w:val="single" w:sz="4" w:space="0" w:color="000000"/>
            </w:tcBorders>
          </w:tcPr>
          <w:p w14:paraId="30083DBA" w14:textId="77777777" w:rsidR="00E57D11" w:rsidRPr="00E57D11" w:rsidRDefault="00E57D11" w:rsidP="00E57D11">
            <w:pPr>
              <w:suppressAutoHyphens/>
              <w:snapToGrid w:val="0"/>
              <w:jc w:val="center"/>
              <w:rPr>
                <w:rFonts w:eastAsia="Calibri"/>
                <w:sz w:val="12"/>
                <w:szCs w:val="22"/>
                <w:lang w:eastAsia="ar-SA"/>
              </w:rPr>
            </w:pPr>
          </w:p>
        </w:tc>
        <w:tc>
          <w:tcPr>
            <w:tcW w:w="701" w:type="dxa"/>
          </w:tcPr>
          <w:p w14:paraId="4734E601" w14:textId="77777777" w:rsidR="00E57D11" w:rsidRPr="00E57D11" w:rsidRDefault="00E57D11" w:rsidP="00E57D11">
            <w:pPr>
              <w:suppressAutoHyphens/>
              <w:snapToGrid w:val="0"/>
              <w:jc w:val="center"/>
              <w:rPr>
                <w:rFonts w:eastAsia="Calibri"/>
                <w:sz w:val="12"/>
                <w:szCs w:val="22"/>
                <w:lang w:eastAsia="ar-SA"/>
              </w:rPr>
            </w:pPr>
          </w:p>
        </w:tc>
        <w:tc>
          <w:tcPr>
            <w:tcW w:w="2611" w:type="dxa"/>
            <w:tcBorders>
              <w:bottom w:val="single" w:sz="4" w:space="0" w:color="000000"/>
            </w:tcBorders>
          </w:tcPr>
          <w:p w14:paraId="5368A19C" w14:textId="77777777" w:rsidR="00E57D11" w:rsidRPr="00E57D11" w:rsidRDefault="00E57D11" w:rsidP="00E57D11">
            <w:pPr>
              <w:suppressAutoHyphens/>
              <w:snapToGrid w:val="0"/>
              <w:jc w:val="right"/>
              <w:rPr>
                <w:rFonts w:eastAsia="Calibri"/>
                <w:sz w:val="12"/>
                <w:szCs w:val="22"/>
                <w:lang w:eastAsia="ar-SA"/>
              </w:rPr>
            </w:pPr>
          </w:p>
        </w:tc>
        <w:tc>
          <w:tcPr>
            <w:tcW w:w="648" w:type="dxa"/>
          </w:tcPr>
          <w:p w14:paraId="700CB111" w14:textId="77777777" w:rsidR="00E57D11" w:rsidRPr="00E57D11" w:rsidRDefault="00E57D11" w:rsidP="00E57D11">
            <w:pPr>
              <w:suppressAutoHyphens/>
              <w:snapToGrid w:val="0"/>
              <w:jc w:val="right"/>
              <w:rPr>
                <w:rFonts w:eastAsia="Calibri"/>
                <w:sz w:val="12"/>
                <w:szCs w:val="22"/>
                <w:lang w:eastAsia="ar-SA"/>
              </w:rPr>
            </w:pPr>
          </w:p>
        </w:tc>
      </w:tr>
      <w:tr w:rsidR="00E57D11" w:rsidRPr="00E57D11" w14:paraId="1B368333" w14:textId="77777777" w:rsidTr="00E80142">
        <w:trPr>
          <w:trHeight w:val="186"/>
        </w:trPr>
        <w:tc>
          <w:tcPr>
            <w:tcW w:w="3284" w:type="dxa"/>
            <w:tcBorders>
              <w:top w:val="single" w:sz="4" w:space="0" w:color="000000"/>
            </w:tcBorders>
          </w:tcPr>
          <w:p w14:paraId="2161C722" w14:textId="686CC16F" w:rsidR="00E57D11" w:rsidRPr="00E57D11" w:rsidRDefault="00E57D11" w:rsidP="00E57D11">
            <w:pPr>
              <w:suppressAutoHyphens/>
              <w:snapToGrid w:val="0"/>
              <w:jc w:val="both"/>
              <w:rPr>
                <w:position w:val="6"/>
                <w:sz w:val="20"/>
                <w:lang w:eastAsia="ar-SA"/>
              </w:rPr>
            </w:pPr>
            <w:r w:rsidRPr="00E57D11">
              <w:rPr>
                <w:position w:val="6"/>
                <w:sz w:val="20"/>
                <w:lang w:eastAsia="ar-SA"/>
              </w:rPr>
              <w:t>(Deklaraciją sudariusio asmens pareigų pavadinimas)</w:t>
            </w:r>
          </w:p>
        </w:tc>
        <w:tc>
          <w:tcPr>
            <w:tcW w:w="604" w:type="dxa"/>
          </w:tcPr>
          <w:p w14:paraId="3F2137B9" w14:textId="77777777" w:rsidR="00E57D11" w:rsidRPr="00E57D11" w:rsidRDefault="00E57D11" w:rsidP="00E57D11">
            <w:pPr>
              <w:suppressAutoHyphens/>
              <w:snapToGrid w:val="0"/>
              <w:jc w:val="center"/>
              <w:rPr>
                <w:rFonts w:eastAsia="Calibri"/>
                <w:sz w:val="20"/>
                <w:lang w:eastAsia="ar-SA"/>
              </w:rPr>
            </w:pPr>
          </w:p>
        </w:tc>
        <w:tc>
          <w:tcPr>
            <w:tcW w:w="1980" w:type="dxa"/>
            <w:tcBorders>
              <w:top w:val="single" w:sz="4" w:space="0" w:color="000000"/>
            </w:tcBorders>
          </w:tcPr>
          <w:p w14:paraId="78637BE9" w14:textId="36BF6CA4" w:rsidR="00E57D11" w:rsidRPr="00E57D11" w:rsidRDefault="00E57D11" w:rsidP="00E57D11">
            <w:pPr>
              <w:suppressAutoHyphens/>
              <w:snapToGrid w:val="0"/>
              <w:jc w:val="center"/>
              <w:rPr>
                <w:rFonts w:eastAsia="Calibri"/>
                <w:i/>
                <w:sz w:val="20"/>
                <w:lang w:eastAsia="ar-SA"/>
              </w:rPr>
            </w:pPr>
            <w:r w:rsidRPr="00E57D11">
              <w:rPr>
                <w:rFonts w:eastAsia="Calibri"/>
                <w:position w:val="6"/>
                <w:sz w:val="20"/>
                <w:lang w:eastAsia="ar-SA"/>
              </w:rPr>
              <w:t>(Parašas)</w:t>
            </w:r>
            <w:r w:rsidRPr="00E57D11">
              <w:rPr>
                <w:rFonts w:eastAsia="Calibri"/>
                <w:i/>
                <w:sz w:val="20"/>
                <w:lang w:eastAsia="ar-SA"/>
              </w:rPr>
              <w:t xml:space="preserve"> </w:t>
            </w:r>
          </w:p>
        </w:tc>
        <w:tc>
          <w:tcPr>
            <w:tcW w:w="701" w:type="dxa"/>
          </w:tcPr>
          <w:p w14:paraId="1B959355" w14:textId="77777777" w:rsidR="00E57D11" w:rsidRPr="00E57D11" w:rsidRDefault="00E57D11" w:rsidP="00E57D11">
            <w:pPr>
              <w:suppressAutoHyphens/>
              <w:snapToGrid w:val="0"/>
              <w:jc w:val="center"/>
              <w:rPr>
                <w:rFonts w:eastAsia="Calibri"/>
                <w:sz w:val="20"/>
                <w:lang w:eastAsia="ar-SA"/>
              </w:rPr>
            </w:pPr>
          </w:p>
        </w:tc>
        <w:tc>
          <w:tcPr>
            <w:tcW w:w="2611" w:type="dxa"/>
            <w:tcBorders>
              <w:top w:val="single" w:sz="4" w:space="0" w:color="000000"/>
            </w:tcBorders>
          </w:tcPr>
          <w:p w14:paraId="5441D6C1" w14:textId="7ED5BAD0" w:rsidR="00E57D11" w:rsidRPr="00E57D11" w:rsidRDefault="00E57D11" w:rsidP="00E57D11">
            <w:pPr>
              <w:suppressAutoHyphens/>
              <w:snapToGrid w:val="0"/>
              <w:jc w:val="center"/>
              <w:rPr>
                <w:rFonts w:eastAsia="Calibri"/>
                <w:i/>
                <w:sz w:val="20"/>
                <w:lang w:eastAsia="ar-SA"/>
              </w:rPr>
            </w:pPr>
            <w:r w:rsidRPr="00E57D11">
              <w:rPr>
                <w:rFonts w:eastAsia="Calibri"/>
                <w:position w:val="6"/>
                <w:sz w:val="20"/>
                <w:lang w:eastAsia="ar-SA"/>
              </w:rPr>
              <w:t>(Vardas ir pavard</w:t>
            </w:r>
            <w:r>
              <w:rPr>
                <w:rFonts w:eastAsia="Calibri"/>
                <w:position w:val="6"/>
                <w:sz w:val="20"/>
                <w:lang w:eastAsia="ar-SA"/>
              </w:rPr>
              <w:t>ė</w:t>
            </w:r>
            <w:r w:rsidRPr="00E57D11">
              <w:rPr>
                <w:rFonts w:eastAsia="Calibri"/>
                <w:position w:val="6"/>
                <w:sz w:val="20"/>
                <w:lang w:eastAsia="ar-SA"/>
              </w:rPr>
              <w:t>)</w:t>
            </w:r>
            <w:r w:rsidRPr="00E57D11">
              <w:rPr>
                <w:rFonts w:eastAsia="Calibri"/>
                <w:i/>
                <w:sz w:val="20"/>
                <w:lang w:eastAsia="ar-SA"/>
              </w:rPr>
              <w:t xml:space="preserve"> </w:t>
            </w:r>
          </w:p>
        </w:tc>
        <w:tc>
          <w:tcPr>
            <w:tcW w:w="648" w:type="dxa"/>
          </w:tcPr>
          <w:p w14:paraId="7CD890C3" w14:textId="77777777" w:rsidR="00E57D11" w:rsidRPr="00E57D11" w:rsidRDefault="00E57D11" w:rsidP="00E57D11">
            <w:pPr>
              <w:suppressAutoHyphens/>
              <w:snapToGrid w:val="0"/>
              <w:jc w:val="center"/>
              <w:rPr>
                <w:rFonts w:eastAsia="Calibri"/>
                <w:sz w:val="20"/>
                <w:lang w:eastAsia="ar-SA"/>
              </w:rPr>
            </w:pPr>
          </w:p>
        </w:tc>
      </w:tr>
    </w:tbl>
    <w:p w14:paraId="0C2C3FE9" w14:textId="77777777" w:rsidR="00E57D11" w:rsidRDefault="00E57D11"/>
    <w:sectPr w:rsidR="00E57D11" w:rsidSect="00372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1E969" w14:textId="77777777" w:rsidR="000E4710" w:rsidRDefault="000E4710" w:rsidP="00E57D11">
      <w:r>
        <w:separator/>
      </w:r>
    </w:p>
  </w:endnote>
  <w:endnote w:type="continuationSeparator" w:id="0">
    <w:p w14:paraId="1D33C431" w14:textId="77777777" w:rsidR="000E4710" w:rsidRDefault="000E4710" w:rsidP="00E5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3FF80" w14:textId="77777777" w:rsidR="000E4710" w:rsidRDefault="000E4710" w:rsidP="00E57D11">
      <w:r>
        <w:separator/>
      </w:r>
    </w:p>
  </w:footnote>
  <w:footnote w:type="continuationSeparator" w:id="0">
    <w:p w14:paraId="358CCCF6" w14:textId="77777777" w:rsidR="000E4710" w:rsidRDefault="000E4710" w:rsidP="00E57D11">
      <w:r>
        <w:continuationSeparator/>
      </w:r>
    </w:p>
  </w:footnote>
  <w:footnote w:id="1">
    <w:p w14:paraId="0D10A7D9" w14:textId="50351A35" w:rsidR="00E57D11" w:rsidRDefault="00E57D11" w:rsidP="00E57D11">
      <w:pPr>
        <w:pStyle w:val="Puslapioinaostekstas"/>
        <w:jc w:val="both"/>
      </w:pPr>
      <w:r>
        <w:rPr>
          <w:rStyle w:val="Puslapioinaosnuoroda"/>
        </w:rPr>
        <w:footnoteRef/>
      </w:r>
      <w:r>
        <w:t xml:space="preserve"> </w:t>
      </w:r>
      <w:r w:rsidRPr="00E57D11">
        <w:t>Patvirtinta Lietuvos Respublikos Vyriausybės 2020 m. spalio 28 d. nutarimu Nr. 1187 „Dėl Paramos atsinaujinančių energijos išteklių plėtrai, energijos efektyvumo didinimui, moksliniams tyrimams ir eksperimentinei plėtrai atsinaujinančių išteklių energetikos sektoriuje administravimo tvarkos aprašo patvirtinimo“</w:t>
      </w:r>
    </w:p>
  </w:footnote>
  <w:footnote w:id="2">
    <w:p w14:paraId="1BB1F2BF" w14:textId="1CDCDAE7" w:rsidR="00E57D11" w:rsidRDefault="00E57D11" w:rsidP="00E57D11">
      <w:pPr>
        <w:pStyle w:val="Puslapioinaostekstas"/>
        <w:jc w:val="both"/>
      </w:pPr>
      <w:r>
        <w:rPr>
          <w:rStyle w:val="Puslapioinaosnuoroda"/>
        </w:rPr>
        <w:footnoteRef/>
      </w:r>
      <w:r>
        <w:t xml:space="preserve"> </w:t>
      </w:r>
      <w:r w:rsidRPr="00E57D11">
        <w:t>Patvirtinta Lietuvos Respublikos energetikos ministro 2020 m. lapkričio 6 d. įsakymu Nr. 1-366 „Dėl Elektros energijos iš atsinaujinančių išteklių gamybos mažos galios elektrinėse projektų atrankos organizavimo tvarkos aprašo patvirtinimo</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32"/>
    <w:rsid w:val="000E4710"/>
    <w:rsid w:val="000F7757"/>
    <w:rsid w:val="002763C4"/>
    <w:rsid w:val="00352ED6"/>
    <w:rsid w:val="00372910"/>
    <w:rsid w:val="00575877"/>
    <w:rsid w:val="00631E9F"/>
    <w:rsid w:val="007C77F9"/>
    <w:rsid w:val="00920832"/>
    <w:rsid w:val="009663AB"/>
    <w:rsid w:val="009F0E7F"/>
    <w:rsid w:val="009F6FDB"/>
    <w:rsid w:val="00A70D25"/>
    <w:rsid w:val="00AB2867"/>
    <w:rsid w:val="00B14B42"/>
    <w:rsid w:val="00C906F3"/>
    <w:rsid w:val="00E57D11"/>
    <w:rsid w:val="00E92741"/>
    <w:rsid w:val="00EB79C9"/>
    <w:rsid w:val="00F30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D768"/>
  <w15:chartTrackingRefBased/>
  <w15:docId w15:val="{8F8B695D-733B-47B3-BE35-5DE8CD3B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083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B28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2867"/>
    <w:rPr>
      <w:rFonts w:ascii="Segoe UI" w:eastAsia="Times New Roman" w:hAnsi="Segoe UI" w:cs="Segoe UI"/>
      <w:sz w:val="18"/>
      <w:szCs w:val="18"/>
    </w:rPr>
  </w:style>
  <w:style w:type="paragraph" w:styleId="Sraopastraipa">
    <w:name w:val="List Paragraph"/>
    <w:basedOn w:val="prastasis"/>
    <w:uiPriority w:val="34"/>
    <w:qFormat/>
    <w:rsid w:val="00E57D11"/>
    <w:pPr>
      <w:ind w:left="720"/>
      <w:contextualSpacing/>
    </w:pPr>
  </w:style>
  <w:style w:type="paragraph" w:styleId="Antrats">
    <w:name w:val="header"/>
    <w:basedOn w:val="prastasis"/>
    <w:link w:val="AntratsDiagrama"/>
    <w:uiPriority w:val="99"/>
    <w:unhideWhenUsed/>
    <w:rsid w:val="00E57D11"/>
    <w:pPr>
      <w:tabs>
        <w:tab w:val="center" w:pos="4513"/>
        <w:tab w:val="right" w:pos="9026"/>
      </w:tabs>
    </w:pPr>
  </w:style>
  <w:style w:type="character" w:customStyle="1" w:styleId="AntratsDiagrama">
    <w:name w:val="Antraštės Diagrama"/>
    <w:basedOn w:val="Numatytasispastraiposriftas"/>
    <w:link w:val="Antrats"/>
    <w:uiPriority w:val="99"/>
    <w:rsid w:val="00E57D1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57D11"/>
    <w:pPr>
      <w:tabs>
        <w:tab w:val="center" w:pos="4513"/>
        <w:tab w:val="right" w:pos="9026"/>
      </w:tabs>
    </w:pPr>
  </w:style>
  <w:style w:type="character" w:customStyle="1" w:styleId="PoratDiagrama">
    <w:name w:val="Poraštė Diagrama"/>
    <w:basedOn w:val="Numatytasispastraiposriftas"/>
    <w:link w:val="Porat"/>
    <w:uiPriority w:val="99"/>
    <w:rsid w:val="00E57D11"/>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semiHidden/>
    <w:unhideWhenUsed/>
    <w:rsid w:val="00E57D11"/>
    <w:rPr>
      <w:sz w:val="20"/>
    </w:rPr>
  </w:style>
  <w:style w:type="character" w:customStyle="1" w:styleId="PuslapioinaostekstasDiagrama">
    <w:name w:val="Puslapio išnašos tekstas Diagrama"/>
    <w:basedOn w:val="Numatytasispastraiposriftas"/>
    <w:link w:val="Puslapioinaostekstas"/>
    <w:uiPriority w:val="99"/>
    <w:semiHidden/>
    <w:rsid w:val="00E57D11"/>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E57D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C0EF-037A-45F6-B5D0-B2CAFD4F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2930</Words>
  <Characters>1671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Kaniavaitė</dc:creator>
  <cp:keywords/>
  <dc:description/>
  <cp:lastModifiedBy>Jonas Balkevičius</cp:lastModifiedBy>
  <cp:revision>2</cp:revision>
  <dcterms:created xsi:type="dcterms:W3CDTF">2020-12-09T06:02:00Z</dcterms:created>
  <dcterms:modified xsi:type="dcterms:W3CDTF">2020-12-09T06:02:00Z</dcterms:modified>
</cp:coreProperties>
</file>