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3BFB" w14:textId="5073DC84" w:rsidR="00C10640" w:rsidRPr="00505CB4" w:rsidRDefault="007F29A8" w:rsidP="00505CB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bookmarkStart w:id="0" w:name="_Hlk57368382"/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SU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PARAIŠK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PARAMAI GAUTI PAGAL LAAIF PROGRAMĄ</w:t>
      </w:r>
      <w:r w:rsidR="008142E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TEIK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IAMŲ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DOKUMENTŲ SĄRAŠAS</w:t>
      </w:r>
    </w:p>
    <w:bookmarkEnd w:id="0"/>
    <w:p w14:paraId="1430B04D" w14:textId="1110F50F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Įgaliojimas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teikti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araišką</w:t>
      </w:r>
      <w:r w:rsidR="00301D7F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(jei </w:t>
      </w:r>
      <w:r w:rsidR="00B134A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teikiama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ne pareiškėjo vadovo).</w:t>
      </w:r>
    </w:p>
    <w:p w14:paraId="5E99D48C" w14:textId="77777777" w:rsidR="00162E2D" w:rsidRPr="00604E68" w:rsidRDefault="00162E2D" w:rsidP="00162E2D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Sprendimas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, patvirtintas juridinio asmens atitinkamo valdymo organo ar asmens (asmenų grupės), turinčio (turinčios) teisę priimti tokius sprendimus, kuriuos nutarta projekto įgyvendinimui 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skirti tam tikrą lėšų sumą, ir (ar) informacija apie lėšų šaltinį 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(kredito įstaigos sąskaitos (-ų) išrašas ar kredito įstaigos pažyma apie projekto vykdytojo turimas lėšas, numatomos pajamos, pelnas, nepaskirstytini rezervai);</w:t>
      </w:r>
    </w:p>
    <w:p w14:paraId="5BACFC99" w14:textId="17C394C1" w:rsidR="00162E2D" w:rsidRPr="00604E68" w:rsidRDefault="00162E2D" w:rsidP="00162E2D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Jei pareiškėjo planuojamas indėlis yra kredito įstaigos paskola, pateikiamas 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preliminarus kredito įstaigos sprendimas suteikti paskolą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 P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riėmus sprendimą skirti finansavimą, ne vėliau kaip per Agentūros nustatytą protingą terminą iki subsidijų teikimo sutarties pasirašymo tur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ės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būti gauta paskola arba pateikta pažyma, kurioje nurodytas kredito įstaigos sprendimas suteikti paskolą konkrečiai priemonei, esant ar įvykdžius tam tikras sąlygas</w:t>
      </w:r>
    </w:p>
    <w:p w14:paraId="386C0727" w14:textId="7F52B5A6" w:rsidR="00162E2D" w:rsidRPr="00604E68" w:rsidRDefault="00162E2D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Jei pareiškėjo planuojamas indėlis yra savivaldybės piniginės lėšos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, </w:t>
      </w:r>
      <w:r w:rsidRPr="00604E68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pateikiamas 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savivaldybės tarybos sprendimas skirti savivaldybės biudžeto lėšų projektui.</w:t>
      </w:r>
    </w:p>
    <w:p w14:paraId="1332F78F" w14:textId="3277C923" w:rsidR="00C10640" w:rsidRPr="00505CB4" w:rsidRDefault="00154499" w:rsidP="00505CB4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irkimų 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vykdymo 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dokument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us</w:t>
      </w:r>
      <w:r w:rsidR="00072CD4" w:rsidRPr="00505CB4">
        <w:rPr>
          <w:rStyle w:val="FootnoteReference"/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footnoteReference w:id="1"/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arba 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prisijungim</w:t>
      </w:r>
      <w:r w:rsidR="00072CD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D2026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prie CVPIS 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 vykd</w:t>
      </w:r>
      <w:r w:rsidR="0057473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omas</w:t>
      </w:r>
      <w:r w:rsidR="00D2026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CVPIS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54FD888" w14:textId="3C9D2F80" w:rsidR="00C10640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kai pirkim</w:t>
      </w:r>
      <w:r w:rsidR="00072CD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 baigtas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 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</w:t>
      </w:r>
      <w:r w:rsidR="00072CD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367D7A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CE0EDD0" w14:textId="545C4D48" w:rsidR="00BA4559" w:rsidRPr="00505CB4" w:rsidRDefault="00154499" w:rsidP="00505CB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skelbimas, 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dokumentai, pasiūlymai,</w:t>
      </w:r>
      <w:r w:rsidR="00BA4559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B00AF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pirkimo komisijos (kai privaloma) sudėtį patvirtinantis dokumentas, pasiūlymų vertinimo protokolai bei pirkimo ir pardavimo sutartis;</w:t>
      </w:r>
    </w:p>
    <w:p w14:paraId="0B6AE6F9" w14:textId="439C87B9" w:rsidR="009D0DEB" w:rsidRPr="00505CB4" w:rsidRDefault="00C10640" w:rsidP="00505CB4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kai 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pirkim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nepradėt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="000530E8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ar 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n</w:t>
      </w:r>
      <w:r w:rsidR="00CF6F64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užbaigt</w:t>
      </w:r>
      <w:r w:rsidR="008E1C2D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as</w:t>
      </w:r>
      <w:r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projekto įgyvendinimo grafike (9 punktas)</w:t>
      </w:r>
      <w:r w:rsidR="00AF279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planuojam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pirkimo </w:t>
      </w:r>
      <w:r w:rsidR="009602C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įvykdymo </w:t>
      </w:r>
      <w:r w:rsidR="00C64DBB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termina</w:t>
      </w:r>
      <w:r w:rsidR="00334155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bei pateikiam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</w:t>
      </w:r>
      <w:r w:rsidR="000530E8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</w:p>
    <w:p w14:paraId="2D70EE42" w14:textId="4B0C62AA" w:rsidR="00803D2D" w:rsidRPr="00505CB4" w:rsidRDefault="00247C83" w:rsidP="00505CB4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įmonės </w:t>
      </w:r>
      <w:r w:rsidR="00AE204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pirkimų planas ar suvestinė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kuriame įtrauktas su projekto įgyvendinimu susijęs pirkimas (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iš jo galima identifikuoti pirkimo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pavadinim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ir vert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ę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</w:t>
      </w: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;</w:t>
      </w:r>
    </w:p>
    <w:p w14:paraId="396DE5ED" w14:textId="68018025" w:rsidR="00803D2D" w:rsidRPr="00505CB4" w:rsidRDefault="008D6894" w:rsidP="00505CB4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irkimo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vertę</w:t>
      </w:r>
      <w:r w:rsidR="00803D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pagrindžiantys dokumentai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(Pvz.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Sistela sąmata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; </w:t>
      </w:r>
      <w:r w:rsidR="008E1C2D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analizė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pasinaudojant viešai tiekėjų pateikta informacija (internete, reklaminėje medžiagoje ir pan.);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B3D34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komerciniai pasiūlymai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(rekomenduojama apklausti ne mažiau 3 potencialius tiekėjus,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pirkimo vertę 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pasirenka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nt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pagal mažiausios kainos kriterijų. Pa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si</w:t>
      </w:r>
      <w:r w:rsidR="002B3D3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rinkus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ne mažiausios kainos kriterijų, pateik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ti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tokio pasirinkimo</w:t>
      </w:r>
      <w:r w:rsidR="008E1C2D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racionalumo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pagrindim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ą</w:t>
      </w:r>
      <w:r w:rsidR="00247C83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).</w:t>
      </w:r>
    </w:p>
    <w:p w14:paraId="5293134B" w14:textId="65CA0ED5" w:rsidR="00C10640" w:rsidRPr="00505CB4" w:rsidRDefault="00161E1F" w:rsidP="00505CB4">
      <w:pPr>
        <w:numPr>
          <w:ilvl w:val="0"/>
          <w:numId w:val="1"/>
        </w:numPr>
        <w:shd w:val="clear" w:color="auto" w:fill="FFFFFF"/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Titulinis lapas ir n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uoroda į </w:t>
      </w:r>
      <w:r w:rsidR="00196427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aršos integruotos prevencijos ir kontrolės leidim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="00C10640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arba</w:t>
      </w:r>
      <w:r w:rsidR="00C1064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Taršos leidim</w:t>
      </w:r>
      <w:r w:rsidR="00AA019C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ą</w:t>
      </w:r>
      <w:r w:rsidR="00113DA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DA40CC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tų NVĮ, į kuriuos bus nukreipiamos Nuotekos iš prijungiamų būstų. </w:t>
      </w:r>
    </w:p>
    <w:p w14:paraId="1C28F5C6" w14:textId="036F1961" w:rsidR="00C10640" w:rsidRPr="00505CB4" w:rsidRDefault="00C10640" w:rsidP="00505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Taršos emisijų skaičiavimas</w:t>
      </w:r>
      <w:r w:rsidR="00A056B0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iki </w:t>
      </w:r>
      <w:r w:rsidR="00072BD6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ir po 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Projekto</w:t>
      </w:r>
      <w:r w:rsidR="00AF279B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. </w:t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Pateikiama emisijų skaičiuoklė </w:t>
      </w:r>
      <w:r w:rsidR="00AF279B" w:rsidRPr="00EC795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>Ecxel</w:t>
      </w:r>
      <w:r w:rsidR="00AF279B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formatu.</w:t>
      </w:r>
      <w:r w:rsidR="00072BD6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C73F5A" w:rsidRPr="00EC7955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</w:p>
    <w:p w14:paraId="029232E9" w14:textId="19056652" w:rsidR="0053402E" w:rsidRPr="00505CB4" w:rsidRDefault="00DA40CC" w:rsidP="00505CB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Įvadų projektai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 Jeigu iki paraiškos pateikimo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jie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nėra parengt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, pateikiam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os numatomų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įvadų</w:t>
      </w:r>
      <w:r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principinės</w:t>
      </w:r>
      <w:r w:rsidR="0053402E" w:rsidRPr="00505CB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schem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os</w:t>
      </w:r>
      <w:r w:rsidRPr="00DA40CC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ir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projekto įgyvendinimo plane nurodomas terminas per kurį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projektai </w:t>
      </w:r>
      <w:r w:rsidR="0053402E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bus parengt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i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327C9F1D" w14:textId="77777777" w:rsidR="0017345B" w:rsidRDefault="006E4BC1" w:rsidP="00173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Statybą leidžiančio dokumento</w:t>
      </w:r>
      <w:r w:rsidR="009F3057" w:rsidRPr="00505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titulinis lapas ir nuoroda</w:t>
      </w:r>
      <w:r w:rsidRPr="0050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(jeigu privalomi pagal leidimų išdavimo tvarką reglamentuojančius teisės aktus)</w:t>
      </w:r>
      <w:r w:rsidR="009F3057" w:rsidRPr="00505CB4">
        <w:rPr>
          <w:rFonts w:ascii="Times New Roman" w:hAnsi="Times New Roman" w:cs="Times New Roman"/>
          <w:color w:val="000000"/>
          <w:sz w:val="24"/>
          <w:szCs w:val="24"/>
        </w:rPr>
        <w:t>, Jeigu leidimas privalomas, tačiau paraiškos teikimo metu nėra gautas</w:t>
      </w:r>
      <w:r w:rsidR="009F3057" w:rsidRPr="00505CB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lt-LT"/>
        </w:rPr>
        <w:t xml:space="preserve">,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projekto įgyvendinimo plane </w:t>
      </w:r>
      <w:r w:rsid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(9 punktas) </w:t>
      </w:r>
      <w:r w:rsidR="009F3057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nurodomas planuojamas gavimo terminas</w:t>
      </w:r>
      <w:r w:rsidR="00CF6F64" w:rsidRPr="00505CB4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7C9CE553" w14:textId="77777777" w:rsidR="0017345B" w:rsidRDefault="00B57547" w:rsidP="00173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1734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Preliminarus p</w:t>
      </w:r>
      <w:r w:rsidR="00FE5A3D" w:rsidRPr="001734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 xml:space="preserve">rojekto įgyvendinimo </w:t>
      </w:r>
      <w:r w:rsidR="00604214" w:rsidRPr="0017345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lt-LT"/>
        </w:rPr>
        <w:t>grafikas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  <w:r w:rsidR="00CF6F6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G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rafikas </w:t>
      </w:r>
      <w:r w:rsidR="00CF6F6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bus tikslinamas ir turės būti 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pateikiamas</w:t>
      </w:r>
      <w:r w:rsidR="00CD13F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per 14 dien</w:t>
      </w:r>
      <w:r w:rsidR="00072CD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ų</w:t>
      </w:r>
      <w:r w:rsidR="008D009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nuo </w:t>
      </w:r>
      <w:r w:rsidR="00CD13F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subsidijos </w:t>
      </w:r>
      <w:r w:rsidR="00364900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teikimo sutarties </w:t>
      </w:r>
      <w:r w:rsidR="00604214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įsigaliojimo</w:t>
      </w:r>
      <w:r w:rsidR="008D009B"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60AEB958" w14:textId="6AFCBAF3" w:rsidR="0017345B" w:rsidRPr="0017345B" w:rsidRDefault="0017345B" w:rsidP="001734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1734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G</w:t>
      </w:r>
      <w:r w:rsidRPr="0017345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yvenamų būstų, kuriuos numatoma prijungti prie nuotekų surinkimo tinklų, sąrašas</w:t>
      </w:r>
      <w:r w:rsidRPr="0017345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(nurodant gyventojo vardą, pavardę ir gyvenamo būsto adresą), sudarytas pagal savivaldybės ir (arba) pareiškėjo nustatytą ir patvirtintą gyvenamų būstų prijungimo prie nuotekų surinkimo tinklų atrankos tvarką.</w:t>
      </w:r>
    </w:p>
    <w:p w14:paraId="585C6F5C" w14:textId="4204DC1C" w:rsidR="00DA40CC" w:rsidRPr="00505CB4" w:rsidRDefault="0017345B" w:rsidP="00505CB4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lastRenderedPageBreak/>
        <w:t>P</w:t>
      </w:r>
      <w:r w:rsidRPr="00162E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reliminarios sutartys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r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pasirašyt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os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s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u</w:t>
      </w:r>
      <w:r w:rsidR="00162E2D"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gyventojai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s</w:t>
      </w:r>
      <w:r w:rsidR="00162E2D"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ar jiems teisėtai atstovaujan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čiais</w:t>
      </w:r>
      <w:r w:rsidR="00162E2D" w:rsidRP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subjektai</w:t>
      </w:r>
      <w:r w:rsidR="00162E2D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.</w:t>
      </w:r>
    </w:p>
    <w:p w14:paraId="2A78DE01" w14:textId="31A7D344" w:rsidR="002726EC" w:rsidRPr="001E3D8D" w:rsidRDefault="00C10640" w:rsidP="001E3D8D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</w:pPr>
      <w:r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>Pastab</w:t>
      </w:r>
      <w:r w:rsidR="008202A2" w:rsidRPr="001E3D8D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  <w:lang w:eastAsia="lt-LT"/>
        </w:rPr>
        <w:t xml:space="preserve">a. </w:t>
      </w:r>
      <w:r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>Jeigu prieduose pateikti ne originalūs dokumentai, o jų kopijos, jos turi būti teikiamos</w:t>
      </w:r>
      <w:r w:rsidR="00C71550" w:rsidRPr="001E3D8D">
        <w:rPr>
          <w:rFonts w:ascii="Times New Roman" w:eastAsia="Times New Roman" w:hAnsi="Times New Roman" w:cs="Times New Roman"/>
          <w:color w:val="212121"/>
          <w:sz w:val="16"/>
          <w:szCs w:val="16"/>
          <w:lang w:eastAsia="lt-LT"/>
        </w:rPr>
        <w:t xml:space="preserve"> vadovaujantis Dokumentų rengimo taisyklėmis, patvirtintomis Lietuvos vyriausiojo archyvaro 2011 m. liepos 4 d. įsakymu Nr. V-117 (Žin., 2011, Nr. 88-4229).</w:t>
      </w:r>
    </w:p>
    <w:sectPr w:rsidR="002726EC" w:rsidRPr="001E3D8D" w:rsidSect="00145A04">
      <w:pgSz w:w="11906" w:h="16838"/>
      <w:pgMar w:top="1134" w:right="70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9E0" w14:textId="77777777" w:rsidR="00B37DFA" w:rsidRDefault="00B37DFA" w:rsidP="002C3AD5">
      <w:pPr>
        <w:spacing w:after="0" w:line="240" w:lineRule="auto"/>
      </w:pPr>
      <w:r>
        <w:separator/>
      </w:r>
    </w:p>
  </w:endnote>
  <w:endnote w:type="continuationSeparator" w:id="0">
    <w:p w14:paraId="3B1C5680" w14:textId="77777777" w:rsidR="00B37DFA" w:rsidRDefault="00B37DFA" w:rsidP="002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07E3" w14:textId="77777777" w:rsidR="00B37DFA" w:rsidRDefault="00B37DFA" w:rsidP="002C3AD5">
      <w:pPr>
        <w:spacing w:after="0" w:line="240" w:lineRule="auto"/>
      </w:pPr>
      <w:r>
        <w:separator/>
      </w:r>
    </w:p>
  </w:footnote>
  <w:footnote w:type="continuationSeparator" w:id="0">
    <w:p w14:paraId="76C54171" w14:textId="77777777" w:rsidR="00B37DFA" w:rsidRDefault="00B37DFA" w:rsidP="002C3AD5">
      <w:pPr>
        <w:spacing w:after="0" w:line="240" w:lineRule="auto"/>
      </w:pPr>
      <w:r>
        <w:continuationSeparator/>
      </w:r>
    </w:p>
  </w:footnote>
  <w:footnote w:id="1">
    <w:p w14:paraId="7E6D0863" w14:textId="4195FA15" w:rsidR="00072CD4" w:rsidRPr="00505CB4" w:rsidRDefault="00072CD4" w:rsidP="00072CD4">
      <w:pPr>
        <w:pStyle w:val="FootnoteText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</w:pPr>
      <w:r w:rsidRPr="00505CB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05CB4">
        <w:rPr>
          <w:rFonts w:ascii="Times New Roman" w:hAnsi="Times New Roman" w:cs="Times New Roman"/>
          <w:sz w:val="18"/>
          <w:szCs w:val="18"/>
        </w:rPr>
        <w:t xml:space="preserve"> </w:t>
      </w:r>
      <w:r w:rsidR="00703A17" w:rsidRPr="00505CB4">
        <w:rPr>
          <w:rFonts w:ascii="Times New Roman" w:hAnsi="Times New Roman" w:cs="Times New Roman"/>
          <w:sz w:val="18"/>
          <w:szCs w:val="18"/>
        </w:rPr>
        <w:t xml:space="preserve">Perkančiosioms organizacijoms -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L</w:t>
      </w:r>
      <w:r w:rsidR="002F503F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R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viešųjų pirkimų įstatymas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(VPĮ);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Ūkio subjektų, kurie nėra perkančiosios organizacijos pagal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VPĮ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, pirkimų vykdymo tvarkos aprašas 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patvirtintas 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2010 m. rugsėjo 14 d. LR aplinkos ministro įsakym</w:t>
      </w:r>
      <w:r w:rsidR="00703A17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u</w:t>
      </w:r>
      <w:r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 xml:space="preserve"> Nr. D1-762</w:t>
      </w:r>
      <w:r w:rsidR="00145A04" w:rsidRPr="00505CB4">
        <w:rPr>
          <w:rFonts w:ascii="Times New Roman" w:eastAsia="Times New Roman" w:hAnsi="Times New Roman" w:cs="Times New Roman"/>
          <w:color w:val="212121"/>
          <w:sz w:val="18"/>
          <w:szCs w:val="18"/>
          <w:lang w:eastAsia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DE6"/>
    <w:multiLevelType w:val="multilevel"/>
    <w:tmpl w:val="BA4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1F9F"/>
    <w:multiLevelType w:val="hybridMultilevel"/>
    <w:tmpl w:val="A02C389E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3042659"/>
    <w:multiLevelType w:val="hybridMultilevel"/>
    <w:tmpl w:val="41082D2A"/>
    <w:lvl w:ilvl="0" w:tplc="1690D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334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F3546"/>
    <w:multiLevelType w:val="multilevel"/>
    <w:tmpl w:val="E20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511C3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6" w15:restartNumberingAfterBreak="0">
    <w:nsid w:val="30A55AA4"/>
    <w:multiLevelType w:val="multilevel"/>
    <w:tmpl w:val="9B3E1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34F96"/>
    <w:multiLevelType w:val="multilevel"/>
    <w:tmpl w:val="D4E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B16E4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 w15:restartNumberingAfterBreak="0">
    <w:nsid w:val="3F6246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36D9C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 w15:restartNumberingAfterBreak="0">
    <w:nsid w:val="6FD4610F"/>
    <w:multiLevelType w:val="multilevel"/>
    <w:tmpl w:val="BE9268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5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70356E33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E7564"/>
    <w:multiLevelType w:val="multilevel"/>
    <w:tmpl w:val="1CCC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07"/>
    <w:rsid w:val="00034193"/>
    <w:rsid w:val="000530E8"/>
    <w:rsid w:val="00072BD6"/>
    <w:rsid w:val="00072CD4"/>
    <w:rsid w:val="00087DC4"/>
    <w:rsid w:val="00090065"/>
    <w:rsid w:val="00090559"/>
    <w:rsid w:val="000B5819"/>
    <w:rsid w:val="000C5C4A"/>
    <w:rsid w:val="00113DA7"/>
    <w:rsid w:val="001148C8"/>
    <w:rsid w:val="00142B86"/>
    <w:rsid w:val="00145A04"/>
    <w:rsid w:val="00154499"/>
    <w:rsid w:val="00161E1F"/>
    <w:rsid w:val="00162E2D"/>
    <w:rsid w:val="0017345B"/>
    <w:rsid w:val="001757DA"/>
    <w:rsid w:val="00196427"/>
    <w:rsid w:val="001E3D8D"/>
    <w:rsid w:val="00207872"/>
    <w:rsid w:val="00225C23"/>
    <w:rsid w:val="002441A8"/>
    <w:rsid w:val="00247C83"/>
    <w:rsid w:val="002726EC"/>
    <w:rsid w:val="00285893"/>
    <w:rsid w:val="00290AF4"/>
    <w:rsid w:val="002A6B6B"/>
    <w:rsid w:val="002B3D34"/>
    <w:rsid w:val="002C10BE"/>
    <w:rsid w:val="002C3AD5"/>
    <w:rsid w:val="002D1B36"/>
    <w:rsid w:val="002E08CE"/>
    <w:rsid w:val="002F503F"/>
    <w:rsid w:val="00301D7F"/>
    <w:rsid w:val="00334155"/>
    <w:rsid w:val="00361060"/>
    <w:rsid w:val="00364900"/>
    <w:rsid w:val="00365490"/>
    <w:rsid w:val="00367D7A"/>
    <w:rsid w:val="003913F2"/>
    <w:rsid w:val="00395C65"/>
    <w:rsid w:val="003B039C"/>
    <w:rsid w:val="003B530C"/>
    <w:rsid w:val="00436D7E"/>
    <w:rsid w:val="00440D91"/>
    <w:rsid w:val="00473CA4"/>
    <w:rsid w:val="00480281"/>
    <w:rsid w:val="00481822"/>
    <w:rsid w:val="004E4A08"/>
    <w:rsid w:val="00505CB4"/>
    <w:rsid w:val="0053402E"/>
    <w:rsid w:val="00550850"/>
    <w:rsid w:val="005519AD"/>
    <w:rsid w:val="00574736"/>
    <w:rsid w:val="005E3138"/>
    <w:rsid w:val="00604214"/>
    <w:rsid w:val="00604E68"/>
    <w:rsid w:val="00621522"/>
    <w:rsid w:val="006811E0"/>
    <w:rsid w:val="006864AC"/>
    <w:rsid w:val="006B0C7C"/>
    <w:rsid w:val="006E4BC1"/>
    <w:rsid w:val="006F5AC7"/>
    <w:rsid w:val="006F5B1D"/>
    <w:rsid w:val="00702E95"/>
    <w:rsid w:val="00703A17"/>
    <w:rsid w:val="00731186"/>
    <w:rsid w:val="007414A8"/>
    <w:rsid w:val="00750C0A"/>
    <w:rsid w:val="00753CCC"/>
    <w:rsid w:val="00762CE4"/>
    <w:rsid w:val="00774CE0"/>
    <w:rsid w:val="00790996"/>
    <w:rsid w:val="007934E0"/>
    <w:rsid w:val="00797EEC"/>
    <w:rsid w:val="007A017C"/>
    <w:rsid w:val="007A674F"/>
    <w:rsid w:val="007F29A8"/>
    <w:rsid w:val="007F2E53"/>
    <w:rsid w:val="00803D2D"/>
    <w:rsid w:val="0080618F"/>
    <w:rsid w:val="008142E7"/>
    <w:rsid w:val="008202A2"/>
    <w:rsid w:val="0082120B"/>
    <w:rsid w:val="00821764"/>
    <w:rsid w:val="00826FE1"/>
    <w:rsid w:val="00841949"/>
    <w:rsid w:val="00844AD4"/>
    <w:rsid w:val="00846E93"/>
    <w:rsid w:val="008673ED"/>
    <w:rsid w:val="0087109F"/>
    <w:rsid w:val="00893CD3"/>
    <w:rsid w:val="008D009B"/>
    <w:rsid w:val="008D35AE"/>
    <w:rsid w:val="008D6894"/>
    <w:rsid w:val="008E1C2D"/>
    <w:rsid w:val="008E41DC"/>
    <w:rsid w:val="00945D68"/>
    <w:rsid w:val="009602C5"/>
    <w:rsid w:val="009838CB"/>
    <w:rsid w:val="00984254"/>
    <w:rsid w:val="009A5D46"/>
    <w:rsid w:val="009B2B92"/>
    <w:rsid w:val="009D0DEB"/>
    <w:rsid w:val="009D3375"/>
    <w:rsid w:val="009D5A6B"/>
    <w:rsid w:val="009F3057"/>
    <w:rsid w:val="00A056B0"/>
    <w:rsid w:val="00A222FF"/>
    <w:rsid w:val="00A632FD"/>
    <w:rsid w:val="00AA019C"/>
    <w:rsid w:val="00AD6269"/>
    <w:rsid w:val="00AE2047"/>
    <w:rsid w:val="00AF279B"/>
    <w:rsid w:val="00B00AF8"/>
    <w:rsid w:val="00B01320"/>
    <w:rsid w:val="00B0624B"/>
    <w:rsid w:val="00B134AA"/>
    <w:rsid w:val="00B37DFA"/>
    <w:rsid w:val="00B415CF"/>
    <w:rsid w:val="00B44676"/>
    <w:rsid w:val="00B53018"/>
    <w:rsid w:val="00B57547"/>
    <w:rsid w:val="00B660EF"/>
    <w:rsid w:val="00B74441"/>
    <w:rsid w:val="00B75514"/>
    <w:rsid w:val="00B9556D"/>
    <w:rsid w:val="00BA165B"/>
    <w:rsid w:val="00BA4559"/>
    <w:rsid w:val="00BB44A0"/>
    <w:rsid w:val="00C001CA"/>
    <w:rsid w:val="00C10640"/>
    <w:rsid w:val="00C162A9"/>
    <w:rsid w:val="00C23DE5"/>
    <w:rsid w:val="00C41CD0"/>
    <w:rsid w:val="00C61F25"/>
    <w:rsid w:val="00C64DBB"/>
    <w:rsid w:val="00C71550"/>
    <w:rsid w:val="00C73F5A"/>
    <w:rsid w:val="00C846E0"/>
    <w:rsid w:val="00C90F60"/>
    <w:rsid w:val="00C92C02"/>
    <w:rsid w:val="00C9443B"/>
    <w:rsid w:val="00CC1100"/>
    <w:rsid w:val="00CD13FB"/>
    <w:rsid w:val="00CE083C"/>
    <w:rsid w:val="00CF6F64"/>
    <w:rsid w:val="00D20266"/>
    <w:rsid w:val="00D53CC7"/>
    <w:rsid w:val="00D71B22"/>
    <w:rsid w:val="00D8384C"/>
    <w:rsid w:val="00DA40CC"/>
    <w:rsid w:val="00DD5BB4"/>
    <w:rsid w:val="00E119CF"/>
    <w:rsid w:val="00E81307"/>
    <w:rsid w:val="00E95D30"/>
    <w:rsid w:val="00EA0DE8"/>
    <w:rsid w:val="00EB0C5E"/>
    <w:rsid w:val="00EC7955"/>
    <w:rsid w:val="00ED1EF9"/>
    <w:rsid w:val="00EE4047"/>
    <w:rsid w:val="00FB1519"/>
    <w:rsid w:val="00FC104C"/>
    <w:rsid w:val="00FC42E2"/>
    <w:rsid w:val="00FD3587"/>
    <w:rsid w:val="00FD671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9E8"/>
  <w15:docId w15:val="{122C7FB1-699D-413C-B48E-2BE7E2D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10640"/>
    <w:rPr>
      <w:b/>
      <w:bCs/>
    </w:rPr>
  </w:style>
  <w:style w:type="character" w:styleId="Emphasis">
    <w:name w:val="Emphasis"/>
    <w:basedOn w:val="DefaultParagraphFont"/>
    <w:uiPriority w:val="20"/>
    <w:qFormat/>
    <w:rsid w:val="00C106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9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A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6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56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47C8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CEC3-05DB-4B9E-B8CD-F6B8159A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Antonas Misevičius</dc:creator>
  <cp:lastModifiedBy>Akvilė Naikutė</cp:lastModifiedBy>
  <cp:revision>26</cp:revision>
  <dcterms:created xsi:type="dcterms:W3CDTF">2020-11-19T17:42:00Z</dcterms:created>
  <dcterms:modified xsi:type="dcterms:W3CDTF">2021-06-30T12:43:00Z</dcterms:modified>
</cp:coreProperties>
</file>