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7188" w14:textId="77777777" w:rsidR="00D16AB5" w:rsidRDefault="00D16AB5" w:rsidP="00D16AB5">
      <w:pPr>
        <w:ind w:left="6096"/>
        <w:rPr>
          <w:szCs w:val="24"/>
        </w:rPr>
      </w:pPr>
      <w:r>
        <w:rPr>
          <w:szCs w:val="24"/>
        </w:rPr>
        <w:t xml:space="preserve">Lietuvos aplinkos apsaugos </w:t>
      </w:r>
      <w:r w:rsidRPr="00C44D5E">
        <w:rPr>
          <w:szCs w:val="24"/>
        </w:rPr>
        <w:t>investicijų fondo progra</w:t>
      </w:r>
      <w:r>
        <w:rPr>
          <w:szCs w:val="24"/>
        </w:rPr>
        <w:t xml:space="preserve">mos lėšų naudojimo 2020–2022 m. </w:t>
      </w:r>
      <w:r w:rsidRPr="00C44D5E">
        <w:rPr>
          <w:szCs w:val="24"/>
        </w:rPr>
        <w:t xml:space="preserve">finansavimo krypčių </w:t>
      </w:r>
    </w:p>
    <w:p w14:paraId="4D7D3EE1" w14:textId="77777777" w:rsidR="00D16AB5" w:rsidRPr="009B7043" w:rsidRDefault="00D16AB5" w:rsidP="00D16AB5">
      <w:pPr>
        <w:ind w:left="6096"/>
        <w:rPr>
          <w:szCs w:val="24"/>
        </w:rPr>
      </w:pPr>
      <w:r w:rsidRPr="00C44D5E">
        <w:rPr>
          <w:szCs w:val="24"/>
        </w:rPr>
        <w:t>3 priedas</w:t>
      </w:r>
    </w:p>
    <w:p w14:paraId="58E21AB9" w14:textId="77777777" w:rsidR="00D16AB5" w:rsidRPr="00C44D5E" w:rsidRDefault="00D16AB5" w:rsidP="00D16AB5">
      <w:pPr>
        <w:ind w:left="5580"/>
        <w:rPr>
          <w:sz w:val="22"/>
          <w:szCs w:val="24"/>
        </w:rPr>
      </w:pPr>
    </w:p>
    <w:p w14:paraId="75281501" w14:textId="77777777" w:rsidR="00D16AB5" w:rsidRPr="00C44D5E" w:rsidRDefault="00D16AB5" w:rsidP="00D16AB5">
      <w:pPr>
        <w:jc w:val="center"/>
        <w:rPr>
          <w:b/>
          <w:bCs/>
          <w:caps/>
          <w:szCs w:val="24"/>
        </w:rPr>
      </w:pPr>
      <w:r w:rsidRPr="00C44D5E">
        <w:rPr>
          <w:b/>
          <w:bCs/>
          <w:caps/>
          <w:szCs w:val="24"/>
        </w:rPr>
        <w:t>Pareiškėjo (</w:t>
      </w:r>
      <w:r w:rsidRPr="00C44D5E">
        <w:rPr>
          <w:b/>
          <w:bCs/>
          <w:szCs w:val="24"/>
        </w:rPr>
        <w:t>juridinio asmens pavadinimas</w:t>
      </w:r>
      <w:r w:rsidRPr="00C44D5E">
        <w:rPr>
          <w:b/>
          <w:bCs/>
          <w:caps/>
          <w:szCs w:val="24"/>
        </w:rPr>
        <w:t>) aplinkos oro apsaugos projekto „</w:t>
      </w:r>
      <w:r w:rsidRPr="00C44D5E">
        <w:rPr>
          <w:b/>
          <w:bCs/>
          <w:szCs w:val="24"/>
        </w:rPr>
        <w:t>projekto pavadinimas</w:t>
      </w:r>
      <w:r w:rsidRPr="00C44D5E">
        <w:rPr>
          <w:b/>
          <w:bCs/>
          <w:caps/>
          <w:szCs w:val="24"/>
        </w:rPr>
        <w:t>“, VYKDOMO PAGAL 3.2</w:t>
      </w:r>
      <w:r>
        <w:rPr>
          <w:b/>
          <w:bCs/>
          <w:caps/>
          <w:szCs w:val="24"/>
        </w:rPr>
        <w:t>.1</w:t>
      </w:r>
      <w:r w:rsidRPr="00C44D5E">
        <w:rPr>
          <w:b/>
          <w:bCs/>
          <w:caps/>
          <w:szCs w:val="24"/>
        </w:rPr>
        <w:t xml:space="preserve"> FINANSAVIMO KRYPTĮ,  naudos ir kokybės vertinimo balų lentelė</w:t>
      </w:r>
    </w:p>
    <w:p w14:paraId="1DBAB37D" w14:textId="77777777" w:rsidR="00D16AB5" w:rsidRPr="00C44D5E" w:rsidRDefault="00D16AB5" w:rsidP="00D16AB5">
      <w:pPr>
        <w:ind w:firstLine="6480"/>
        <w:rPr>
          <w:sz w:val="22"/>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34"/>
        <w:gridCol w:w="45"/>
        <w:gridCol w:w="2680"/>
        <w:gridCol w:w="1418"/>
        <w:gridCol w:w="719"/>
        <w:gridCol w:w="2117"/>
      </w:tblGrid>
      <w:tr w:rsidR="00D16AB5" w:rsidRPr="00C44D5E" w14:paraId="3EF5FEB0" w14:textId="77777777" w:rsidTr="005E7A71">
        <w:trPr>
          <w:trHeight w:val="420"/>
        </w:trPr>
        <w:tc>
          <w:tcPr>
            <w:tcW w:w="2634" w:type="dxa"/>
            <w:vMerge w:val="restart"/>
            <w:vAlign w:val="center"/>
          </w:tcPr>
          <w:p w14:paraId="1E847A16" w14:textId="77777777" w:rsidR="00D16AB5" w:rsidRPr="00D618EB" w:rsidRDefault="00D16AB5" w:rsidP="005E7A71">
            <w:pPr>
              <w:jc w:val="center"/>
              <w:rPr>
                <w:b/>
                <w:sz w:val="22"/>
                <w:szCs w:val="22"/>
              </w:rPr>
            </w:pPr>
            <w:r w:rsidRPr="00D618EB">
              <w:rPr>
                <w:b/>
                <w:sz w:val="22"/>
                <w:szCs w:val="22"/>
              </w:rPr>
              <w:t>Kriterijaus pavadinimas</w:t>
            </w:r>
          </w:p>
        </w:tc>
        <w:tc>
          <w:tcPr>
            <w:tcW w:w="2725" w:type="dxa"/>
            <w:gridSpan w:val="2"/>
            <w:vMerge w:val="restart"/>
            <w:vAlign w:val="center"/>
          </w:tcPr>
          <w:p w14:paraId="5B4C4FE5" w14:textId="77777777" w:rsidR="00D16AB5" w:rsidRPr="00D618EB" w:rsidRDefault="00D16AB5" w:rsidP="005E7A71">
            <w:pPr>
              <w:jc w:val="center"/>
              <w:rPr>
                <w:b/>
                <w:sz w:val="22"/>
                <w:szCs w:val="22"/>
              </w:rPr>
            </w:pPr>
            <w:r w:rsidRPr="00D618EB">
              <w:rPr>
                <w:b/>
                <w:sz w:val="22"/>
                <w:szCs w:val="22"/>
              </w:rPr>
              <w:t>Kriterijaus reikšmė</w:t>
            </w:r>
          </w:p>
        </w:tc>
        <w:tc>
          <w:tcPr>
            <w:tcW w:w="1418" w:type="dxa"/>
            <w:vMerge w:val="restart"/>
            <w:vAlign w:val="center"/>
          </w:tcPr>
          <w:p w14:paraId="19A1DCFC" w14:textId="77777777" w:rsidR="00D16AB5" w:rsidRPr="00D618EB" w:rsidRDefault="00D16AB5" w:rsidP="005E7A71">
            <w:pPr>
              <w:jc w:val="center"/>
              <w:rPr>
                <w:b/>
                <w:sz w:val="22"/>
                <w:szCs w:val="22"/>
              </w:rPr>
            </w:pPr>
            <w:r w:rsidRPr="00D618EB">
              <w:rPr>
                <w:b/>
                <w:sz w:val="22"/>
                <w:szCs w:val="22"/>
              </w:rPr>
              <w:t>Maksimalus vertinimas balais</w:t>
            </w:r>
          </w:p>
        </w:tc>
        <w:tc>
          <w:tcPr>
            <w:tcW w:w="2836" w:type="dxa"/>
            <w:gridSpan w:val="2"/>
            <w:vAlign w:val="center"/>
          </w:tcPr>
          <w:p w14:paraId="71A76C63" w14:textId="77777777" w:rsidR="00D16AB5" w:rsidRPr="00D618EB" w:rsidRDefault="00D16AB5" w:rsidP="005E7A71">
            <w:pPr>
              <w:jc w:val="center"/>
              <w:rPr>
                <w:b/>
                <w:bCs/>
                <w:sz w:val="22"/>
                <w:szCs w:val="22"/>
              </w:rPr>
            </w:pPr>
            <w:r w:rsidRPr="00D618EB">
              <w:rPr>
                <w:b/>
                <w:sz w:val="22"/>
                <w:szCs w:val="22"/>
              </w:rPr>
              <w:t>Projekto vertinimas</w:t>
            </w:r>
          </w:p>
        </w:tc>
      </w:tr>
      <w:tr w:rsidR="00D16AB5" w:rsidRPr="00C44D5E" w14:paraId="42E07999" w14:textId="77777777" w:rsidTr="005E7A71">
        <w:trPr>
          <w:trHeight w:val="435"/>
        </w:trPr>
        <w:tc>
          <w:tcPr>
            <w:tcW w:w="2634" w:type="dxa"/>
            <w:vMerge/>
            <w:vAlign w:val="center"/>
          </w:tcPr>
          <w:p w14:paraId="7E386EFD" w14:textId="77777777" w:rsidR="00D16AB5" w:rsidRPr="00D618EB" w:rsidRDefault="00D16AB5" w:rsidP="005E7A71">
            <w:pPr>
              <w:jc w:val="center"/>
              <w:rPr>
                <w:b/>
                <w:sz w:val="22"/>
                <w:szCs w:val="22"/>
              </w:rPr>
            </w:pPr>
          </w:p>
        </w:tc>
        <w:tc>
          <w:tcPr>
            <w:tcW w:w="2725" w:type="dxa"/>
            <w:gridSpan w:val="2"/>
            <w:vMerge/>
            <w:vAlign w:val="center"/>
          </w:tcPr>
          <w:p w14:paraId="5606E3EF" w14:textId="77777777" w:rsidR="00D16AB5" w:rsidRPr="00D618EB" w:rsidRDefault="00D16AB5" w:rsidP="005E7A71">
            <w:pPr>
              <w:jc w:val="center"/>
              <w:rPr>
                <w:b/>
                <w:bCs/>
                <w:sz w:val="22"/>
                <w:szCs w:val="22"/>
              </w:rPr>
            </w:pPr>
          </w:p>
        </w:tc>
        <w:tc>
          <w:tcPr>
            <w:tcW w:w="1418" w:type="dxa"/>
            <w:vMerge/>
            <w:vAlign w:val="center"/>
          </w:tcPr>
          <w:p w14:paraId="616323C2" w14:textId="77777777" w:rsidR="00D16AB5" w:rsidRPr="00D618EB" w:rsidRDefault="00D16AB5" w:rsidP="005E7A71">
            <w:pPr>
              <w:jc w:val="center"/>
              <w:rPr>
                <w:b/>
                <w:sz w:val="22"/>
                <w:szCs w:val="22"/>
              </w:rPr>
            </w:pPr>
          </w:p>
        </w:tc>
        <w:tc>
          <w:tcPr>
            <w:tcW w:w="719" w:type="dxa"/>
            <w:vAlign w:val="center"/>
          </w:tcPr>
          <w:p w14:paraId="335FC4CF" w14:textId="77777777" w:rsidR="00D16AB5" w:rsidRPr="00D618EB" w:rsidRDefault="00D16AB5" w:rsidP="005E7A71">
            <w:pPr>
              <w:jc w:val="center"/>
              <w:rPr>
                <w:b/>
                <w:sz w:val="22"/>
                <w:szCs w:val="22"/>
              </w:rPr>
            </w:pPr>
            <w:r w:rsidRPr="00D618EB">
              <w:rPr>
                <w:b/>
                <w:sz w:val="22"/>
                <w:szCs w:val="22"/>
              </w:rPr>
              <w:t>Balai</w:t>
            </w:r>
          </w:p>
        </w:tc>
        <w:tc>
          <w:tcPr>
            <w:tcW w:w="2117" w:type="dxa"/>
            <w:vAlign w:val="center"/>
          </w:tcPr>
          <w:p w14:paraId="7C0E1249" w14:textId="77777777" w:rsidR="00D16AB5" w:rsidRPr="00D618EB" w:rsidRDefault="00D16AB5" w:rsidP="005E7A71">
            <w:pPr>
              <w:jc w:val="center"/>
              <w:rPr>
                <w:b/>
                <w:sz w:val="22"/>
                <w:szCs w:val="22"/>
              </w:rPr>
            </w:pPr>
            <w:r w:rsidRPr="00D618EB">
              <w:rPr>
                <w:b/>
                <w:sz w:val="22"/>
                <w:szCs w:val="22"/>
              </w:rPr>
              <w:t>Vertinimo pagrindimas</w:t>
            </w:r>
          </w:p>
        </w:tc>
      </w:tr>
      <w:tr w:rsidR="00D16AB5" w:rsidRPr="00C44D5E" w14:paraId="460D82AD" w14:textId="77777777" w:rsidTr="005E7A71">
        <w:trPr>
          <w:trHeight w:val="417"/>
        </w:trPr>
        <w:tc>
          <w:tcPr>
            <w:tcW w:w="5359" w:type="dxa"/>
            <w:gridSpan w:val="3"/>
            <w:vAlign w:val="center"/>
          </w:tcPr>
          <w:p w14:paraId="38A5BED2" w14:textId="77777777" w:rsidR="00D16AB5" w:rsidRPr="00D618EB" w:rsidRDefault="00D16AB5" w:rsidP="005E7A71">
            <w:pPr>
              <w:jc w:val="both"/>
              <w:rPr>
                <w:b/>
                <w:sz w:val="22"/>
                <w:szCs w:val="22"/>
              </w:rPr>
            </w:pPr>
            <w:r w:rsidRPr="00D618EB">
              <w:rPr>
                <w:b/>
                <w:sz w:val="22"/>
                <w:szCs w:val="22"/>
              </w:rPr>
              <w:t>1. Kurą deginančio įrenginio vardinė (nominali) šiluminė galia</w:t>
            </w:r>
            <w:r w:rsidRPr="00D618EB">
              <w:rPr>
                <w:rStyle w:val="Puslapioinaosnuoroda"/>
                <w:rFonts w:eastAsia="Cumberland"/>
                <w:b/>
                <w:sz w:val="22"/>
                <w:szCs w:val="22"/>
              </w:rPr>
              <w:footnoteReference w:id="1"/>
            </w:r>
          </w:p>
        </w:tc>
        <w:tc>
          <w:tcPr>
            <w:tcW w:w="1418" w:type="dxa"/>
            <w:vAlign w:val="center"/>
          </w:tcPr>
          <w:p w14:paraId="499648C4" w14:textId="77777777" w:rsidR="00D16AB5" w:rsidRPr="00D618EB" w:rsidRDefault="00D16AB5" w:rsidP="005E7A71">
            <w:pPr>
              <w:jc w:val="center"/>
              <w:rPr>
                <w:b/>
                <w:sz w:val="22"/>
                <w:szCs w:val="22"/>
              </w:rPr>
            </w:pPr>
            <w:r w:rsidRPr="00D618EB">
              <w:rPr>
                <w:b/>
                <w:sz w:val="22"/>
                <w:szCs w:val="22"/>
              </w:rPr>
              <w:t>15</w:t>
            </w:r>
          </w:p>
        </w:tc>
        <w:tc>
          <w:tcPr>
            <w:tcW w:w="719" w:type="dxa"/>
            <w:vAlign w:val="center"/>
          </w:tcPr>
          <w:p w14:paraId="2572762D" w14:textId="77777777" w:rsidR="00D16AB5" w:rsidRPr="00D618EB" w:rsidRDefault="00D16AB5" w:rsidP="005E7A71">
            <w:pPr>
              <w:jc w:val="center"/>
              <w:rPr>
                <w:sz w:val="22"/>
                <w:szCs w:val="22"/>
              </w:rPr>
            </w:pPr>
          </w:p>
        </w:tc>
        <w:tc>
          <w:tcPr>
            <w:tcW w:w="2117" w:type="dxa"/>
            <w:vMerge w:val="restart"/>
          </w:tcPr>
          <w:p w14:paraId="332C5033" w14:textId="77777777" w:rsidR="00D16AB5" w:rsidRPr="00D618EB" w:rsidRDefault="00D16AB5" w:rsidP="005E7A71">
            <w:pPr>
              <w:rPr>
                <w:sz w:val="22"/>
                <w:szCs w:val="22"/>
              </w:rPr>
            </w:pPr>
          </w:p>
        </w:tc>
      </w:tr>
      <w:tr w:rsidR="00D16AB5" w:rsidRPr="00C44D5E" w14:paraId="65033754" w14:textId="77777777" w:rsidTr="005E7A71">
        <w:trPr>
          <w:trHeight w:val="509"/>
        </w:trPr>
        <w:tc>
          <w:tcPr>
            <w:tcW w:w="2679" w:type="dxa"/>
            <w:gridSpan w:val="2"/>
            <w:vAlign w:val="center"/>
          </w:tcPr>
          <w:p w14:paraId="0F5B1200" w14:textId="77777777" w:rsidR="00D16AB5" w:rsidRPr="00D618EB" w:rsidRDefault="00D16AB5" w:rsidP="005E7A71">
            <w:pPr>
              <w:jc w:val="both"/>
              <w:rPr>
                <w:b/>
                <w:bCs/>
                <w:sz w:val="22"/>
                <w:szCs w:val="22"/>
              </w:rPr>
            </w:pPr>
          </w:p>
        </w:tc>
        <w:tc>
          <w:tcPr>
            <w:tcW w:w="2680" w:type="dxa"/>
            <w:vAlign w:val="center"/>
          </w:tcPr>
          <w:p w14:paraId="33CE33BC" w14:textId="77777777" w:rsidR="00D16AB5" w:rsidRPr="00D618EB" w:rsidRDefault="00D16AB5" w:rsidP="005E7A71">
            <w:pPr>
              <w:jc w:val="both"/>
              <w:rPr>
                <w:bCs/>
                <w:sz w:val="22"/>
                <w:szCs w:val="22"/>
              </w:rPr>
            </w:pPr>
            <w:r w:rsidRPr="00D618EB">
              <w:rPr>
                <w:bCs/>
                <w:sz w:val="22"/>
                <w:szCs w:val="22"/>
              </w:rPr>
              <w:t>1 MW ar didesnė, bet ne didesnė kaip 5 MW</w:t>
            </w:r>
          </w:p>
        </w:tc>
        <w:tc>
          <w:tcPr>
            <w:tcW w:w="1418" w:type="dxa"/>
            <w:vAlign w:val="center"/>
          </w:tcPr>
          <w:p w14:paraId="08A393CF" w14:textId="77777777" w:rsidR="00D16AB5" w:rsidRPr="00D618EB" w:rsidDel="005B643A" w:rsidRDefault="00D16AB5" w:rsidP="005E7A71">
            <w:pPr>
              <w:jc w:val="center"/>
              <w:rPr>
                <w:bCs/>
                <w:sz w:val="22"/>
                <w:szCs w:val="22"/>
              </w:rPr>
            </w:pPr>
            <w:r w:rsidRPr="00D618EB">
              <w:rPr>
                <w:bCs/>
                <w:sz w:val="22"/>
                <w:szCs w:val="22"/>
              </w:rPr>
              <w:t>15</w:t>
            </w:r>
          </w:p>
        </w:tc>
        <w:tc>
          <w:tcPr>
            <w:tcW w:w="719" w:type="dxa"/>
          </w:tcPr>
          <w:p w14:paraId="066A1DE1" w14:textId="77777777" w:rsidR="00D16AB5" w:rsidRPr="00D618EB" w:rsidRDefault="00D16AB5" w:rsidP="005E7A71">
            <w:pPr>
              <w:jc w:val="both"/>
              <w:rPr>
                <w:sz w:val="22"/>
                <w:szCs w:val="22"/>
              </w:rPr>
            </w:pPr>
          </w:p>
        </w:tc>
        <w:tc>
          <w:tcPr>
            <w:tcW w:w="2117" w:type="dxa"/>
            <w:vMerge/>
            <w:vAlign w:val="center"/>
          </w:tcPr>
          <w:p w14:paraId="300904A0" w14:textId="77777777" w:rsidR="00D16AB5" w:rsidRPr="00D618EB" w:rsidRDefault="00D16AB5" w:rsidP="005E7A71">
            <w:pPr>
              <w:jc w:val="both"/>
              <w:rPr>
                <w:sz w:val="22"/>
                <w:szCs w:val="22"/>
              </w:rPr>
            </w:pPr>
          </w:p>
        </w:tc>
      </w:tr>
      <w:tr w:rsidR="00D16AB5" w:rsidRPr="00C44D5E" w14:paraId="0B7EF0DD" w14:textId="77777777" w:rsidTr="005E7A71">
        <w:trPr>
          <w:trHeight w:val="559"/>
        </w:trPr>
        <w:tc>
          <w:tcPr>
            <w:tcW w:w="2679" w:type="dxa"/>
            <w:gridSpan w:val="2"/>
            <w:vAlign w:val="center"/>
          </w:tcPr>
          <w:p w14:paraId="476E7D1D" w14:textId="77777777" w:rsidR="00D16AB5" w:rsidRPr="00D618EB" w:rsidRDefault="00D16AB5" w:rsidP="005E7A71">
            <w:pPr>
              <w:jc w:val="both"/>
              <w:rPr>
                <w:b/>
                <w:bCs/>
                <w:sz w:val="22"/>
                <w:szCs w:val="22"/>
              </w:rPr>
            </w:pPr>
          </w:p>
        </w:tc>
        <w:tc>
          <w:tcPr>
            <w:tcW w:w="2680" w:type="dxa"/>
            <w:shd w:val="clear" w:color="auto" w:fill="auto"/>
            <w:vAlign w:val="center"/>
          </w:tcPr>
          <w:p w14:paraId="74C29514" w14:textId="77777777" w:rsidR="00D16AB5" w:rsidRPr="00D618EB" w:rsidRDefault="00D16AB5" w:rsidP="005E7A71">
            <w:pPr>
              <w:jc w:val="both"/>
              <w:rPr>
                <w:bCs/>
                <w:sz w:val="22"/>
                <w:szCs w:val="22"/>
              </w:rPr>
            </w:pPr>
            <w:r w:rsidRPr="00D618EB">
              <w:rPr>
                <w:bCs/>
                <w:sz w:val="22"/>
                <w:szCs w:val="22"/>
              </w:rPr>
              <w:t>5 MW ar didesnė, bet ne didesnė kaip 20 MW</w:t>
            </w:r>
          </w:p>
        </w:tc>
        <w:tc>
          <w:tcPr>
            <w:tcW w:w="1418" w:type="dxa"/>
            <w:shd w:val="clear" w:color="auto" w:fill="auto"/>
            <w:vAlign w:val="center"/>
          </w:tcPr>
          <w:p w14:paraId="67DE0E68" w14:textId="77777777" w:rsidR="00D16AB5" w:rsidRPr="00D618EB" w:rsidRDefault="00D16AB5" w:rsidP="005E7A71">
            <w:pPr>
              <w:jc w:val="center"/>
              <w:rPr>
                <w:bCs/>
                <w:sz w:val="22"/>
                <w:szCs w:val="22"/>
              </w:rPr>
            </w:pPr>
            <w:r w:rsidRPr="00D618EB">
              <w:rPr>
                <w:bCs/>
                <w:sz w:val="22"/>
                <w:szCs w:val="22"/>
              </w:rPr>
              <w:t>10</w:t>
            </w:r>
          </w:p>
        </w:tc>
        <w:tc>
          <w:tcPr>
            <w:tcW w:w="719" w:type="dxa"/>
            <w:shd w:val="clear" w:color="auto" w:fill="auto"/>
          </w:tcPr>
          <w:p w14:paraId="4CDBAC95" w14:textId="77777777" w:rsidR="00D16AB5" w:rsidRPr="00D618EB" w:rsidRDefault="00D16AB5" w:rsidP="005E7A71">
            <w:pPr>
              <w:jc w:val="both"/>
              <w:rPr>
                <w:sz w:val="22"/>
                <w:szCs w:val="22"/>
              </w:rPr>
            </w:pPr>
          </w:p>
        </w:tc>
        <w:tc>
          <w:tcPr>
            <w:tcW w:w="2117" w:type="dxa"/>
            <w:vMerge/>
            <w:shd w:val="clear" w:color="auto" w:fill="auto"/>
            <w:vAlign w:val="center"/>
          </w:tcPr>
          <w:p w14:paraId="2278B330" w14:textId="77777777" w:rsidR="00D16AB5" w:rsidRPr="00D618EB" w:rsidRDefault="00D16AB5" w:rsidP="005E7A71">
            <w:pPr>
              <w:jc w:val="both"/>
              <w:rPr>
                <w:sz w:val="22"/>
                <w:szCs w:val="22"/>
              </w:rPr>
            </w:pPr>
          </w:p>
        </w:tc>
      </w:tr>
      <w:tr w:rsidR="00D16AB5" w:rsidRPr="00C44D5E" w14:paraId="2485748A" w14:textId="77777777" w:rsidTr="005E7A71">
        <w:trPr>
          <w:trHeight w:val="417"/>
        </w:trPr>
        <w:tc>
          <w:tcPr>
            <w:tcW w:w="5359" w:type="dxa"/>
            <w:gridSpan w:val="3"/>
            <w:shd w:val="clear" w:color="auto" w:fill="auto"/>
            <w:vAlign w:val="center"/>
          </w:tcPr>
          <w:p w14:paraId="1FEAF925" w14:textId="77777777" w:rsidR="00D16AB5" w:rsidRPr="00D618EB" w:rsidRDefault="00D16AB5" w:rsidP="005E7A71">
            <w:pPr>
              <w:jc w:val="both"/>
              <w:rPr>
                <w:b/>
                <w:bCs/>
                <w:sz w:val="22"/>
                <w:szCs w:val="22"/>
              </w:rPr>
            </w:pPr>
            <w:r w:rsidRPr="00D618EB">
              <w:rPr>
                <w:b/>
                <w:bCs/>
                <w:sz w:val="22"/>
                <w:szCs w:val="22"/>
              </w:rPr>
              <w:t>2. Kurą deginančio įrenginio naudojama kuro rūšis</w:t>
            </w:r>
            <w:r w:rsidRPr="00D618EB">
              <w:rPr>
                <w:rStyle w:val="Puslapioinaosnuoroda"/>
                <w:b/>
                <w:bCs/>
                <w:sz w:val="22"/>
                <w:szCs w:val="22"/>
              </w:rPr>
              <w:footnoteReference w:id="2"/>
            </w:r>
          </w:p>
        </w:tc>
        <w:tc>
          <w:tcPr>
            <w:tcW w:w="1418" w:type="dxa"/>
            <w:shd w:val="clear" w:color="auto" w:fill="auto"/>
            <w:vAlign w:val="center"/>
          </w:tcPr>
          <w:p w14:paraId="1464D663" w14:textId="77777777" w:rsidR="00D16AB5" w:rsidRPr="00D618EB" w:rsidRDefault="00D16AB5" w:rsidP="005E7A71">
            <w:pPr>
              <w:jc w:val="center"/>
              <w:rPr>
                <w:b/>
                <w:bCs/>
                <w:sz w:val="22"/>
                <w:szCs w:val="22"/>
              </w:rPr>
            </w:pPr>
            <w:r w:rsidRPr="00D618EB">
              <w:rPr>
                <w:b/>
                <w:bCs/>
                <w:sz w:val="22"/>
                <w:szCs w:val="22"/>
              </w:rPr>
              <w:t>10</w:t>
            </w:r>
          </w:p>
        </w:tc>
        <w:tc>
          <w:tcPr>
            <w:tcW w:w="719" w:type="dxa"/>
            <w:shd w:val="clear" w:color="auto" w:fill="auto"/>
          </w:tcPr>
          <w:p w14:paraId="7B81548D" w14:textId="77777777" w:rsidR="00D16AB5" w:rsidRPr="00D618EB" w:rsidRDefault="00D16AB5" w:rsidP="005E7A71">
            <w:pPr>
              <w:jc w:val="both"/>
              <w:rPr>
                <w:sz w:val="22"/>
                <w:szCs w:val="22"/>
              </w:rPr>
            </w:pPr>
          </w:p>
        </w:tc>
        <w:tc>
          <w:tcPr>
            <w:tcW w:w="2117" w:type="dxa"/>
            <w:shd w:val="clear" w:color="auto" w:fill="auto"/>
            <w:vAlign w:val="center"/>
          </w:tcPr>
          <w:p w14:paraId="2B959518" w14:textId="77777777" w:rsidR="00D16AB5" w:rsidRPr="00D618EB" w:rsidRDefault="00D16AB5" w:rsidP="005E7A71">
            <w:pPr>
              <w:jc w:val="both"/>
              <w:rPr>
                <w:sz w:val="22"/>
                <w:szCs w:val="22"/>
              </w:rPr>
            </w:pPr>
          </w:p>
        </w:tc>
      </w:tr>
      <w:tr w:rsidR="00D16AB5" w:rsidRPr="00C44D5E" w14:paraId="567EE144" w14:textId="77777777" w:rsidTr="005E7A71">
        <w:trPr>
          <w:trHeight w:val="417"/>
        </w:trPr>
        <w:tc>
          <w:tcPr>
            <w:tcW w:w="2679" w:type="dxa"/>
            <w:gridSpan w:val="2"/>
            <w:vAlign w:val="center"/>
          </w:tcPr>
          <w:p w14:paraId="2ED49C2A" w14:textId="77777777" w:rsidR="00D16AB5" w:rsidRPr="00D618EB" w:rsidRDefault="00D16AB5" w:rsidP="005E7A71">
            <w:pPr>
              <w:jc w:val="both"/>
              <w:rPr>
                <w:b/>
                <w:bCs/>
                <w:sz w:val="22"/>
                <w:szCs w:val="22"/>
              </w:rPr>
            </w:pPr>
          </w:p>
        </w:tc>
        <w:tc>
          <w:tcPr>
            <w:tcW w:w="2680" w:type="dxa"/>
            <w:shd w:val="clear" w:color="auto" w:fill="auto"/>
            <w:vAlign w:val="center"/>
          </w:tcPr>
          <w:p w14:paraId="2D77BC6B" w14:textId="77777777" w:rsidR="00D16AB5" w:rsidRPr="00D618EB" w:rsidRDefault="00D16AB5" w:rsidP="005E7A71">
            <w:pPr>
              <w:jc w:val="both"/>
              <w:rPr>
                <w:bCs/>
                <w:sz w:val="22"/>
                <w:szCs w:val="22"/>
              </w:rPr>
            </w:pPr>
            <w:r w:rsidRPr="00D618EB">
              <w:rPr>
                <w:bCs/>
                <w:sz w:val="22"/>
                <w:szCs w:val="22"/>
              </w:rPr>
              <w:t>Kietąjį kurą deginantis įrenginys</w:t>
            </w:r>
          </w:p>
        </w:tc>
        <w:tc>
          <w:tcPr>
            <w:tcW w:w="1418" w:type="dxa"/>
            <w:shd w:val="clear" w:color="auto" w:fill="auto"/>
            <w:vAlign w:val="center"/>
          </w:tcPr>
          <w:p w14:paraId="65842172" w14:textId="77777777" w:rsidR="00D16AB5" w:rsidRPr="00D618EB" w:rsidRDefault="00D16AB5" w:rsidP="005E7A71">
            <w:pPr>
              <w:jc w:val="center"/>
              <w:rPr>
                <w:bCs/>
                <w:sz w:val="22"/>
                <w:szCs w:val="22"/>
              </w:rPr>
            </w:pPr>
            <w:r w:rsidRPr="00D618EB">
              <w:rPr>
                <w:bCs/>
                <w:sz w:val="22"/>
                <w:szCs w:val="22"/>
              </w:rPr>
              <w:t>10</w:t>
            </w:r>
          </w:p>
        </w:tc>
        <w:tc>
          <w:tcPr>
            <w:tcW w:w="719" w:type="dxa"/>
            <w:shd w:val="clear" w:color="auto" w:fill="auto"/>
          </w:tcPr>
          <w:p w14:paraId="190404AF" w14:textId="77777777" w:rsidR="00D16AB5" w:rsidRPr="00D618EB" w:rsidRDefault="00D16AB5" w:rsidP="005E7A71">
            <w:pPr>
              <w:jc w:val="both"/>
              <w:rPr>
                <w:sz w:val="22"/>
                <w:szCs w:val="22"/>
              </w:rPr>
            </w:pPr>
          </w:p>
        </w:tc>
        <w:tc>
          <w:tcPr>
            <w:tcW w:w="2117" w:type="dxa"/>
            <w:shd w:val="clear" w:color="auto" w:fill="auto"/>
            <w:vAlign w:val="center"/>
          </w:tcPr>
          <w:p w14:paraId="4A346120" w14:textId="77777777" w:rsidR="00D16AB5" w:rsidRPr="00D618EB" w:rsidRDefault="00D16AB5" w:rsidP="005E7A71">
            <w:pPr>
              <w:jc w:val="both"/>
              <w:rPr>
                <w:sz w:val="22"/>
                <w:szCs w:val="22"/>
              </w:rPr>
            </w:pPr>
          </w:p>
        </w:tc>
      </w:tr>
      <w:tr w:rsidR="00D16AB5" w:rsidRPr="00C44D5E" w14:paraId="3CA0D2AC" w14:textId="77777777" w:rsidTr="005E7A71">
        <w:trPr>
          <w:trHeight w:val="417"/>
        </w:trPr>
        <w:tc>
          <w:tcPr>
            <w:tcW w:w="5359" w:type="dxa"/>
            <w:gridSpan w:val="3"/>
            <w:shd w:val="clear" w:color="auto" w:fill="auto"/>
            <w:vAlign w:val="center"/>
          </w:tcPr>
          <w:p w14:paraId="5C94C2F8" w14:textId="77777777" w:rsidR="00D16AB5" w:rsidRPr="00D618EB" w:rsidRDefault="00D16AB5" w:rsidP="005E7A71">
            <w:pPr>
              <w:jc w:val="both"/>
              <w:rPr>
                <w:sz w:val="22"/>
                <w:szCs w:val="22"/>
              </w:rPr>
            </w:pPr>
            <w:r w:rsidRPr="00D618EB">
              <w:rPr>
                <w:b/>
                <w:bCs/>
                <w:sz w:val="22"/>
                <w:szCs w:val="22"/>
              </w:rPr>
              <w:t xml:space="preserve">3. Projekto poveikis aplinkai </w:t>
            </w:r>
          </w:p>
        </w:tc>
        <w:tc>
          <w:tcPr>
            <w:tcW w:w="1418" w:type="dxa"/>
            <w:shd w:val="clear" w:color="auto" w:fill="auto"/>
            <w:vAlign w:val="center"/>
          </w:tcPr>
          <w:p w14:paraId="5208990E" w14:textId="77777777" w:rsidR="00D16AB5" w:rsidRPr="00D618EB" w:rsidRDefault="00D16AB5" w:rsidP="005E7A71">
            <w:pPr>
              <w:jc w:val="center"/>
              <w:rPr>
                <w:b/>
                <w:bCs/>
                <w:sz w:val="22"/>
                <w:szCs w:val="22"/>
              </w:rPr>
            </w:pPr>
            <w:r w:rsidRPr="00D618EB">
              <w:rPr>
                <w:b/>
                <w:bCs/>
                <w:sz w:val="22"/>
                <w:szCs w:val="22"/>
              </w:rPr>
              <w:t>75</w:t>
            </w:r>
          </w:p>
        </w:tc>
        <w:tc>
          <w:tcPr>
            <w:tcW w:w="719" w:type="dxa"/>
            <w:shd w:val="clear" w:color="auto" w:fill="auto"/>
          </w:tcPr>
          <w:p w14:paraId="2EE49CAE" w14:textId="77777777" w:rsidR="00D16AB5" w:rsidRPr="00D618EB" w:rsidRDefault="00D16AB5" w:rsidP="005E7A71">
            <w:pPr>
              <w:jc w:val="both"/>
              <w:rPr>
                <w:sz w:val="22"/>
                <w:szCs w:val="22"/>
              </w:rPr>
            </w:pPr>
          </w:p>
        </w:tc>
        <w:tc>
          <w:tcPr>
            <w:tcW w:w="2117" w:type="dxa"/>
            <w:shd w:val="clear" w:color="auto" w:fill="auto"/>
            <w:vAlign w:val="center"/>
          </w:tcPr>
          <w:p w14:paraId="135B9CF3" w14:textId="77777777" w:rsidR="00D16AB5" w:rsidRPr="00D618EB" w:rsidRDefault="00D16AB5" w:rsidP="005E7A71">
            <w:pPr>
              <w:jc w:val="both"/>
              <w:rPr>
                <w:sz w:val="22"/>
                <w:szCs w:val="22"/>
              </w:rPr>
            </w:pPr>
          </w:p>
        </w:tc>
      </w:tr>
      <w:tr w:rsidR="00D16AB5" w:rsidRPr="00D618EB" w14:paraId="2E966831" w14:textId="77777777" w:rsidTr="005E7A71">
        <w:tblPrEx>
          <w:tblCellMar>
            <w:left w:w="108" w:type="dxa"/>
            <w:right w:w="108" w:type="dxa"/>
          </w:tblCellMar>
        </w:tblPrEx>
        <w:trPr>
          <w:trHeight w:val="309"/>
        </w:trPr>
        <w:tc>
          <w:tcPr>
            <w:tcW w:w="2634" w:type="dxa"/>
            <w:vAlign w:val="center"/>
          </w:tcPr>
          <w:p w14:paraId="00BED366" w14:textId="77777777" w:rsidR="00D16AB5" w:rsidRPr="00D618EB" w:rsidRDefault="00D16AB5" w:rsidP="005E7A71">
            <w:pPr>
              <w:jc w:val="both"/>
              <w:rPr>
                <w:sz w:val="22"/>
                <w:szCs w:val="22"/>
              </w:rPr>
            </w:pPr>
            <w:r w:rsidRPr="00D618EB">
              <w:rPr>
                <w:sz w:val="22"/>
                <w:szCs w:val="22"/>
              </w:rPr>
              <w:t xml:space="preserve">3.1. Išmetamo į aplinkos orą teršalo kiekio sumažėjimas įgyvendinus projektą: </w:t>
            </w:r>
          </w:p>
        </w:tc>
        <w:tc>
          <w:tcPr>
            <w:tcW w:w="2725" w:type="dxa"/>
            <w:gridSpan w:val="2"/>
            <w:shd w:val="clear" w:color="auto" w:fill="auto"/>
            <w:vAlign w:val="center"/>
          </w:tcPr>
          <w:p w14:paraId="33C0AB66" w14:textId="77777777" w:rsidR="00D16AB5" w:rsidRPr="00D618EB" w:rsidRDefault="00D16AB5" w:rsidP="005E7A71">
            <w:pPr>
              <w:rPr>
                <w:sz w:val="22"/>
                <w:szCs w:val="22"/>
              </w:rPr>
            </w:pPr>
          </w:p>
        </w:tc>
        <w:tc>
          <w:tcPr>
            <w:tcW w:w="1418" w:type="dxa"/>
            <w:shd w:val="clear" w:color="auto" w:fill="auto"/>
            <w:vAlign w:val="center"/>
          </w:tcPr>
          <w:p w14:paraId="017C3C81" w14:textId="77777777" w:rsidR="00D16AB5" w:rsidRPr="00D618EB" w:rsidRDefault="00D16AB5" w:rsidP="005E7A71">
            <w:pPr>
              <w:jc w:val="center"/>
              <w:rPr>
                <w:sz w:val="22"/>
                <w:szCs w:val="22"/>
              </w:rPr>
            </w:pPr>
            <w:r w:rsidRPr="00D618EB">
              <w:rPr>
                <w:sz w:val="22"/>
                <w:szCs w:val="22"/>
              </w:rPr>
              <w:t>65</w:t>
            </w:r>
          </w:p>
        </w:tc>
        <w:tc>
          <w:tcPr>
            <w:tcW w:w="719" w:type="dxa"/>
            <w:shd w:val="clear" w:color="auto" w:fill="auto"/>
            <w:vAlign w:val="center"/>
          </w:tcPr>
          <w:p w14:paraId="1629D4AE" w14:textId="77777777" w:rsidR="00D16AB5" w:rsidRPr="00D618EB" w:rsidRDefault="00D16AB5" w:rsidP="005E7A71">
            <w:pPr>
              <w:ind w:left="284"/>
              <w:jc w:val="both"/>
              <w:rPr>
                <w:i/>
                <w:iCs/>
                <w:sz w:val="22"/>
                <w:szCs w:val="22"/>
              </w:rPr>
            </w:pPr>
          </w:p>
        </w:tc>
        <w:tc>
          <w:tcPr>
            <w:tcW w:w="2117" w:type="dxa"/>
            <w:shd w:val="clear" w:color="auto" w:fill="auto"/>
            <w:vAlign w:val="center"/>
          </w:tcPr>
          <w:p w14:paraId="5DD0CEB2" w14:textId="77777777" w:rsidR="00D16AB5" w:rsidRPr="00D618EB" w:rsidRDefault="00D16AB5" w:rsidP="005E7A71">
            <w:pPr>
              <w:jc w:val="both"/>
              <w:rPr>
                <w:i/>
                <w:iCs/>
                <w:sz w:val="22"/>
                <w:szCs w:val="22"/>
              </w:rPr>
            </w:pPr>
            <w:r w:rsidRPr="00D618EB">
              <w:rPr>
                <w:i/>
                <w:sz w:val="22"/>
                <w:szCs w:val="22"/>
              </w:rPr>
              <w:t>Įgyvendinus projektą turi būti užtikrintas VKDĮ normose nustatytos toliau nurodytų teršalų išmetimo ribinės vertės laikymasis. Ribinės vertės laikymosi atitiktis įgyvendinus projektą vertinama pagal iš stacionaraus taršos šaltinio išmetamo teršalo koncentracijos tyrimo rezultatus</w:t>
            </w:r>
            <w:r w:rsidRPr="00D618EB">
              <w:rPr>
                <w:sz w:val="22"/>
                <w:szCs w:val="22"/>
              </w:rPr>
              <w:t xml:space="preserve"> </w:t>
            </w:r>
            <w:r w:rsidRPr="00D618EB">
              <w:rPr>
                <w:i/>
                <w:iCs/>
                <w:sz w:val="22"/>
                <w:szCs w:val="22"/>
              </w:rPr>
              <w:lastRenderedPageBreak/>
              <w:t>(šaltinis – informacinė sistema „Aplinkos informacijos valdymo integruota kompiuterinė sistema“ (toliau – IS AIVIKS) arba, kai dėl pagrįstų prie</w:t>
            </w:r>
            <w:r>
              <w:rPr>
                <w:i/>
                <w:iCs/>
                <w:sz w:val="22"/>
                <w:szCs w:val="22"/>
              </w:rPr>
              <w:t>žasčių tokių duomenų IS AIVIKS</w:t>
            </w:r>
            <w:r w:rsidRPr="00D618EB">
              <w:rPr>
                <w:i/>
                <w:iCs/>
                <w:sz w:val="22"/>
                <w:szCs w:val="22"/>
              </w:rPr>
              <w:t xml:space="preserve"> nėra, veiklos vykdytojo pateikti pagal teisės aktų reikalavimus atlikti tyrimo rezultatai)</w:t>
            </w:r>
          </w:p>
        </w:tc>
      </w:tr>
      <w:tr w:rsidR="00D16AB5" w:rsidRPr="00D618EB" w14:paraId="391CD204" w14:textId="77777777" w:rsidTr="005E7A71">
        <w:tblPrEx>
          <w:tblCellMar>
            <w:left w:w="108" w:type="dxa"/>
            <w:right w:w="108" w:type="dxa"/>
          </w:tblCellMar>
        </w:tblPrEx>
        <w:trPr>
          <w:trHeight w:val="309"/>
        </w:trPr>
        <w:tc>
          <w:tcPr>
            <w:tcW w:w="2634" w:type="dxa"/>
            <w:vMerge w:val="restart"/>
            <w:shd w:val="clear" w:color="auto" w:fill="auto"/>
            <w:vAlign w:val="center"/>
          </w:tcPr>
          <w:p w14:paraId="5B27FE5C" w14:textId="77777777" w:rsidR="00D16AB5" w:rsidRPr="00D618EB" w:rsidDel="00BE711F" w:rsidRDefault="00D16AB5" w:rsidP="005E7A71">
            <w:pPr>
              <w:jc w:val="both"/>
              <w:rPr>
                <w:sz w:val="22"/>
                <w:szCs w:val="22"/>
              </w:rPr>
            </w:pPr>
            <w:r w:rsidRPr="00D618EB">
              <w:rPr>
                <w:sz w:val="22"/>
                <w:szCs w:val="22"/>
              </w:rPr>
              <w:lastRenderedPageBreak/>
              <w:t>Kietosios dalelės</w:t>
            </w:r>
          </w:p>
        </w:tc>
        <w:tc>
          <w:tcPr>
            <w:tcW w:w="2725" w:type="dxa"/>
            <w:gridSpan w:val="2"/>
            <w:shd w:val="clear" w:color="auto" w:fill="auto"/>
            <w:vAlign w:val="center"/>
          </w:tcPr>
          <w:p w14:paraId="2855F21B" w14:textId="77777777" w:rsidR="00D16AB5" w:rsidRPr="00D618EB" w:rsidRDefault="00D16AB5" w:rsidP="005E7A71">
            <w:pPr>
              <w:rPr>
                <w:i/>
                <w:iCs/>
                <w:sz w:val="22"/>
                <w:szCs w:val="22"/>
              </w:rPr>
            </w:pPr>
            <w:r>
              <w:rPr>
                <w:sz w:val="22"/>
                <w:szCs w:val="22"/>
              </w:rPr>
              <w:t>80 proc.</w:t>
            </w:r>
            <w:r w:rsidRPr="00D618EB">
              <w:rPr>
                <w:sz w:val="22"/>
                <w:szCs w:val="22"/>
              </w:rPr>
              <w:t xml:space="preserve"> ir daugiau</w:t>
            </w:r>
          </w:p>
        </w:tc>
        <w:tc>
          <w:tcPr>
            <w:tcW w:w="1418" w:type="dxa"/>
            <w:shd w:val="clear" w:color="auto" w:fill="auto"/>
            <w:vAlign w:val="center"/>
          </w:tcPr>
          <w:p w14:paraId="0435B1C1" w14:textId="77777777" w:rsidR="00D16AB5" w:rsidRPr="00D618EB" w:rsidRDefault="00D16AB5" w:rsidP="005E7A71">
            <w:pPr>
              <w:jc w:val="center"/>
              <w:rPr>
                <w:sz w:val="22"/>
                <w:szCs w:val="22"/>
              </w:rPr>
            </w:pPr>
            <w:r w:rsidRPr="00D618EB">
              <w:rPr>
                <w:sz w:val="22"/>
                <w:szCs w:val="22"/>
              </w:rPr>
              <w:t xml:space="preserve"> 35</w:t>
            </w:r>
          </w:p>
        </w:tc>
        <w:tc>
          <w:tcPr>
            <w:tcW w:w="719" w:type="dxa"/>
            <w:vMerge w:val="restart"/>
            <w:shd w:val="clear" w:color="auto" w:fill="auto"/>
            <w:vAlign w:val="center"/>
          </w:tcPr>
          <w:p w14:paraId="1AF0F895" w14:textId="77777777" w:rsidR="00D16AB5" w:rsidRPr="00D618EB" w:rsidRDefault="00D16AB5" w:rsidP="005E7A71">
            <w:pPr>
              <w:ind w:left="284"/>
              <w:jc w:val="both"/>
              <w:rPr>
                <w:i/>
                <w:iCs/>
                <w:sz w:val="22"/>
                <w:szCs w:val="22"/>
              </w:rPr>
            </w:pPr>
          </w:p>
        </w:tc>
        <w:tc>
          <w:tcPr>
            <w:tcW w:w="2117" w:type="dxa"/>
            <w:vMerge w:val="restart"/>
            <w:shd w:val="clear" w:color="auto" w:fill="auto"/>
            <w:vAlign w:val="center"/>
          </w:tcPr>
          <w:p w14:paraId="297D19D6" w14:textId="77777777" w:rsidR="00D16AB5" w:rsidRPr="00D618EB" w:rsidRDefault="00D16AB5" w:rsidP="005E7A71">
            <w:pPr>
              <w:rPr>
                <w:i/>
                <w:iCs/>
                <w:sz w:val="22"/>
                <w:szCs w:val="22"/>
              </w:rPr>
            </w:pPr>
            <w:r w:rsidRPr="00D618EB">
              <w:rPr>
                <w:i/>
                <w:iCs/>
                <w:sz w:val="22"/>
                <w:szCs w:val="22"/>
              </w:rPr>
              <w:t xml:space="preserve">Skaičiuojamas teršalo planuojamas išmetamo kiekio sumažėjimas lyginant su praėjusių 3 kalendorinių metų (2017–2019 m.) išmesto kiekio vidurkiu (šaltinis – IS </w:t>
            </w:r>
            <w:r>
              <w:rPr>
                <w:i/>
                <w:iCs/>
                <w:sz w:val="22"/>
                <w:szCs w:val="22"/>
              </w:rPr>
              <w:t>AIVIKS</w:t>
            </w:r>
            <w:r w:rsidRPr="00D618EB">
              <w:rPr>
                <w:i/>
                <w:iCs/>
                <w:sz w:val="22"/>
                <w:szCs w:val="22"/>
              </w:rPr>
              <w:t>)</w:t>
            </w:r>
          </w:p>
          <w:p w14:paraId="3F54F8F0" w14:textId="77777777" w:rsidR="00D16AB5" w:rsidRPr="00D618EB" w:rsidRDefault="00D16AB5" w:rsidP="005E7A71">
            <w:pPr>
              <w:rPr>
                <w:sz w:val="22"/>
                <w:szCs w:val="22"/>
              </w:rPr>
            </w:pPr>
          </w:p>
          <w:p w14:paraId="39DEF2FE" w14:textId="77777777" w:rsidR="00D16AB5" w:rsidRPr="00D618EB" w:rsidRDefault="00D16AB5" w:rsidP="005E7A71">
            <w:pPr>
              <w:jc w:val="both"/>
              <w:rPr>
                <w:i/>
                <w:iCs/>
                <w:sz w:val="22"/>
                <w:szCs w:val="22"/>
              </w:rPr>
            </w:pPr>
          </w:p>
        </w:tc>
      </w:tr>
      <w:tr w:rsidR="00D16AB5" w:rsidRPr="00D618EB" w14:paraId="04C74AC2" w14:textId="77777777" w:rsidTr="005E7A71">
        <w:tblPrEx>
          <w:tblCellMar>
            <w:left w:w="108" w:type="dxa"/>
            <w:right w:w="108" w:type="dxa"/>
          </w:tblCellMar>
        </w:tblPrEx>
        <w:trPr>
          <w:trHeight w:val="307"/>
        </w:trPr>
        <w:tc>
          <w:tcPr>
            <w:tcW w:w="2634" w:type="dxa"/>
            <w:vMerge/>
            <w:shd w:val="clear" w:color="auto" w:fill="auto"/>
            <w:vAlign w:val="center"/>
          </w:tcPr>
          <w:p w14:paraId="21B1B1D5" w14:textId="77777777" w:rsidR="00D16AB5" w:rsidRPr="00D618EB" w:rsidRDefault="00D16AB5" w:rsidP="005E7A71">
            <w:pPr>
              <w:jc w:val="both"/>
              <w:rPr>
                <w:sz w:val="22"/>
                <w:szCs w:val="22"/>
              </w:rPr>
            </w:pPr>
          </w:p>
        </w:tc>
        <w:tc>
          <w:tcPr>
            <w:tcW w:w="2725" w:type="dxa"/>
            <w:gridSpan w:val="2"/>
            <w:shd w:val="clear" w:color="auto" w:fill="auto"/>
            <w:vAlign w:val="center"/>
          </w:tcPr>
          <w:p w14:paraId="38FFEBB5" w14:textId="77777777" w:rsidR="00D16AB5" w:rsidRPr="00D618EB" w:rsidDel="00795110" w:rsidRDefault="00D16AB5" w:rsidP="005E7A71">
            <w:pPr>
              <w:rPr>
                <w:sz w:val="22"/>
                <w:szCs w:val="22"/>
              </w:rPr>
            </w:pPr>
            <w:r>
              <w:rPr>
                <w:sz w:val="22"/>
                <w:szCs w:val="22"/>
              </w:rPr>
              <w:t>60 proc.</w:t>
            </w:r>
            <w:r w:rsidRPr="00D618EB">
              <w:rPr>
                <w:sz w:val="22"/>
                <w:szCs w:val="22"/>
              </w:rPr>
              <w:t xml:space="preserve"> </w:t>
            </w:r>
            <w:r>
              <w:rPr>
                <w:sz w:val="22"/>
                <w:szCs w:val="22"/>
              </w:rPr>
              <w:t>ir daugiau, bet mažiau kaip 80 proc.</w:t>
            </w:r>
          </w:p>
        </w:tc>
        <w:tc>
          <w:tcPr>
            <w:tcW w:w="1418" w:type="dxa"/>
            <w:shd w:val="clear" w:color="auto" w:fill="auto"/>
            <w:vAlign w:val="center"/>
          </w:tcPr>
          <w:p w14:paraId="4D02427D" w14:textId="77777777" w:rsidR="00D16AB5" w:rsidRPr="00D618EB" w:rsidRDefault="00D16AB5" w:rsidP="005E7A71">
            <w:pPr>
              <w:jc w:val="center"/>
              <w:rPr>
                <w:sz w:val="22"/>
                <w:szCs w:val="22"/>
              </w:rPr>
            </w:pPr>
            <w:r w:rsidRPr="00D618EB">
              <w:rPr>
                <w:sz w:val="22"/>
                <w:szCs w:val="22"/>
              </w:rPr>
              <w:t xml:space="preserve"> 25</w:t>
            </w:r>
          </w:p>
        </w:tc>
        <w:tc>
          <w:tcPr>
            <w:tcW w:w="719" w:type="dxa"/>
            <w:vMerge/>
            <w:shd w:val="clear" w:color="auto" w:fill="auto"/>
            <w:vAlign w:val="center"/>
          </w:tcPr>
          <w:p w14:paraId="6ABD970A" w14:textId="77777777" w:rsidR="00D16AB5" w:rsidRPr="00D618EB" w:rsidRDefault="00D16AB5" w:rsidP="005E7A71">
            <w:pPr>
              <w:ind w:left="284"/>
              <w:jc w:val="both"/>
              <w:rPr>
                <w:i/>
                <w:iCs/>
                <w:sz w:val="22"/>
                <w:szCs w:val="22"/>
              </w:rPr>
            </w:pPr>
          </w:p>
        </w:tc>
        <w:tc>
          <w:tcPr>
            <w:tcW w:w="2117" w:type="dxa"/>
            <w:vMerge/>
            <w:shd w:val="clear" w:color="auto" w:fill="auto"/>
            <w:vAlign w:val="center"/>
          </w:tcPr>
          <w:p w14:paraId="06584E7A" w14:textId="77777777" w:rsidR="00D16AB5" w:rsidRPr="00D618EB" w:rsidRDefault="00D16AB5" w:rsidP="005E7A71">
            <w:pPr>
              <w:jc w:val="both"/>
              <w:rPr>
                <w:i/>
                <w:iCs/>
                <w:sz w:val="22"/>
                <w:szCs w:val="22"/>
              </w:rPr>
            </w:pPr>
          </w:p>
        </w:tc>
      </w:tr>
      <w:tr w:rsidR="00D16AB5" w:rsidRPr="00D618EB" w14:paraId="766F4697" w14:textId="77777777" w:rsidTr="005E7A71">
        <w:tblPrEx>
          <w:tblCellMar>
            <w:left w:w="108" w:type="dxa"/>
            <w:right w:w="108" w:type="dxa"/>
          </w:tblCellMar>
        </w:tblPrEx>
        <w:trPr>
          <w:trHeight w:val="307"/>
        </w:trPr>
        <w:tc>
          <w:tcPr>
            <w:tcW w:w="2634" w:type="dxa"/>
            <w:vMerge/>
            <w:shd w:val="clear" w:color="auto" w:fill="auto"/>
            <w:vAlign w:val="center"/>
          </w:tcPr>
          <w:p w14:paraId="6C8B9CEF" w14:textId="77777777" w:rsidR="00D16AB5" w:rsidRPr="00D618EB" w:rsidRDefault="00D16AB5" w:rsidP="005E7A71">
            <w:pPr>
              <w:jc w:val="both"/>
              <w:rPr>
                <w:sz w:val="22"/>
                <w:szCs w:val="22"/>
              </w:rPr>
            </w:pPr>
          </w:p>
        </w:tc>
        <w:tc>
          <w:tcPr>
            <w:tcW w:w="2725" w:type="dxa"/>
            <w:gridSpan w:val="2"/>
            <w:shd w:val="clear" w:color="auto" w:fill="auto"/>
            <w:vAlign w:val="center"/>
          </w:tcPr>
          <w:p w14:paraId="43108053" w14:textId="77777777" w:rsidR="00D16AB5" w:rsidRPr="00D618EB" w:rsidDel="00795110" w:rsidRDefault="00D16AB5" w:rsidP="005E7A71">
            <w:pPr>
              <w:rPr>
                <w:sz w:val="22"/>
                <w:szCs w:val="22"/>
              </w:rPr>
            </w:pPr>
            <w:r w:rsidRPr="00D618EB">
              <w:rPr>
                <w:sz w:val="22"/>
                <w:szCs w:val="22"/>
              </w:rPr>
              <w:t xml:space="preserve">40 </w:t>
            </w:r>
            <w:r>
              <w:rPr>
                <w:sz w:val="22"/>
                <w:szCs w:val="22"/>
              </w:rPr>
              <w:t>proc.</w:t>
            </w:r>
            <w:r w:rsidRPr="00D618EB">
              <w:rPr>
                <w:sz w:val="22"/>
                <w:szCs w:val="22"/>
              </w:rPr>
              <w:t xml:space="preserve"> ir daugiau, bet mažiau kaip 60 </w:t>
            </w:r>
            <w:r>
              <w:rPr>
                <w:sz w:val="22"/>
                <w:szCs w:val="22"/>
              </w:rPr>
              <w:t>proc.</w:t>
            </w:r>
          </w:p>
        </w:tc>
        <w:tc>
          <w:tcPr>
            <w:tcW w:w="1418" w:type="dxa"/>
            <w:shd w:val="clear" w:color="auto" w:fill="auto"/>
            <w:vAlign w:val="center"/>
          </w:tcPr>
          <w:p w14:paraId="6B17C199" w14:textId="77777777" w:rsidR="00D16AB5" w:rsidRPr="00D618EB" w:rsidRDefault="00D16AB5" w:rsidP="005E7A71">
            <w:pPr>
              <w:jc w:val="center"/>
              <w:rPr>
                <w:strike/>
                <w:sz w:val="22"/>
                <w:szCs w:val="22"/>
              </w:rPr>
            </w:pPr>
            <w:r w:rsidRPr="00D618EB">
              <w:rPr>
                <w:sz w:val="22"/>
                <w:szCs w:val="22"/>
              </w:rPr>
              <w:t>20</w:t>
            </w:r>
          </w:p>
        </w:tc>
        <w:tc>
          <w:tcPr>
            <w:tcW w:w="719" w:type="dxa"/>
            <w:vMerge/>
            <w:shd w:val="clear" w:color="auto" w:fill="auto"/>
            <w:vAlign w:val="center"/>
          </w:tcPr>
          <w:p w14:paraId="096AF56F" w14:textId="77777777" w:rsidR="00D16AB5" w:rsidRPr="00D618EB" w:rsidRDefault="00D16AB5" w:rsidP="005E7A71">
            <w:pPr>
              <w:ind w:left="284"/>
              <w:jc w:val="both"/>
              <w:rPr>
                <w:i/>
                <w:iCs/>
                <w:sz w:val="22"/>
                <w:szCs w:val="22"/>
              </w:rPr>
            </w:pPr>
          </w:p>
        </w:tc>
        <w:tc>
          <w:tcPr>
            <w:tcW w:w="2117" w:type="dxa"/>
            <w:vMerge/>
            <w:shd w:val="clear" w:color="auto" w:fill="auto"/>
            <w:vAlign w:val="center"/>
          </w:tcPr>
          <w:p w14:paraId="675657B2" w14:textId="77777777" w:rsidR="00D16AB5" w:rsidRPr="00D618EB" w:rsidRDefault="00D16AB5" w:rsidP="005E7A71">
            <w:pPr>
              <w:jc w:val="both"/>
              <w:rPr>
                <w:i/>
                <w:iCs/>
                <w:sz w:val="22"/>
                <w:szCs w:val="22"/>
              </w:rPr>
            </w:pPr>
          </w:p>
        </w:tc>
      </w:tr>
      <w:tr w:rsidR="00D16AB5" w:rsidRPr="00D618EB" w14:paraId="3FAB98AC" w14:textId="77777777" w:rsidTr="005E7A71">
        <w:tblPrEx>
          <w:tblCellMar>
            <w:left w:w="108" w:type="dxa"/>
            <w:right w:w="108" w:type="dxa"/>
          </w:tblCellMar>
        </w:tblPrEx>
        <w:trPr>
          <w:trHeight w:val="160"/>
        </w:trPr>
        <w:tc>
          <w:tcPr>
            <w:tcW w:w="2634" w:type="dxa"/>
            <w:vMerge/>
            <w:shd w:val="clear" w:color="auto" w:fill="auto"/>
            <w:vAlign w:val="center"/>
          </w:tcPr>
          <w:p w14:paraId="25F40385" w14:textId="77777777" w:rsidR="00D16AB5" w:rsidRPr="00D618EB" w:rsidDel="00BE711F" w:rsidRDefault="00D16AB5" w:rsidP="005E7A71">
            <w:pPr>
              <w:jc w:val="both"/>
              <w:rPr>
                <w:sz w:val="22"/>
                <w:szCs w:val="22"/>
              </w:rPr>
            </w:pPr>
          </w:p>
        </w:tc>
        <w:tc>
          <w:tcPr>
            <w:tcW w:w="2725" w:type="dxa"/>
            <w:gridSpan w:val="2"/>
            <w:shd w:val="clear" w:color="auto" w:fill="auto"/>
            <w:vAlign w:val="center"/>
          </w:tcPr>
          <w:p w14:paraId="1D37D81D" w14:textId="77777777" w:rsidR="00D16AB5" w:rsidRPr="00D618EB" w:rsidRDefault="00D16AB5" w:rsidP="005E7A71">
            <w:pPr>
              <w:rPr>
                <w:i/>
                <w:iCs/>
                <w:sz w:val="22"/>
                <w:szCs w:val="22"/>
              </w:rPr>
            </w:pPr>
            <w:r w:rsidRPr="00D618EB">
              <w:rPr>
                <w:sz w:val="22"/>
                <w:szCs w:val="22"/>
              </w:rPr>
              <w:t xml:space="preserve">20 </w:t>
            </w:r>
            <w:r>
              <w:rPr>
                <w:sz w:val="22"/>
                <w:szCs w:val="22"/>
              </w:rPr>
              <w:t>proc.</w:t>
            </w:r>
            <w:r w:rsidRPr="00D618EB">
              <w:rPr>
                <w:sz w:val="22"/>
                <w:szCs w:val="22"/>
              </w:rPr>
              <w:t xml:space="preserve"> ir daugiau, bet mažiau kaip 40 </w:t>
            </w:r>
            <w:r>
              <w:rPr>
                <w:sz w:val="22"/>
                <w:szCs w:val="22"/>
              </w:rPr>
              <w:t>proc.</w:t>
            </w:r>
          </w:p>
        </w:tc>
        <w:tc>
          <w:tcPr>
            <w:tcW w:w="1418" w:type="dxa"/>
            <w:shd w:val="clear" w:color="auto" w:fill="auto"/>
            <w:vAlign w:val="center"/>
          </w:tcPr>
          <w:p w14:paraId="026A9F5D" w14:textId="77777777" w:rsidR="00D16AB5" w:rsidRPr="00D618EB" w:rsidRDefault="00D16AB5" w:rsidP="005E7A71">
            <w:pPr>
              <w:jc w:val="center"/>
              <w:rPr>
                <w:sz w:val="22"/>
                <w:szCs w:val="22"/>
              </w:rPr>
            </w:pPr>
            <w:r w:rsidRPr="00D618EB">
              <w:rPr>
                <w:sz w:val="22"/>
                <w:szCs w:val="22"/>
              </w:rPr>
              <w:t xml:space="preserve"> 15</w:t>
            </w:r>
          </w:p>
        </w:tc>
        <w:tc>
          <w:tcPr>
            <w:tcW w:w="719" w:type="dxa"/>
            <w:vMerge/>
            <w:shd w:val="clear" w:color="auto" w:fill="auto"/>
            <w:vAlign w:val="center"/>
          </w:tcPr>
          <w:p w14:paraId="4F70698F" w14:textId="77777777" w:rsidR="00D16AB5" w:rsidRPr="00D618EB" w:rsidRDefault="00D16AB5" w:rsidP="005E7A71">
            <w:pPr>
              <w:ind w:left="284"/>
              <w:jc w:val="both"/>
              <w:rPr>
                <w:i/>
                <w:iCs/>
                <w:sz w:val="22"/>
                <w:szCs w:val="22"/>
              </w:rPr>
            </w:pPr>
          </w:p>
        </w:tc>
        <w:tc>
          <w:tcPr>
            <w:tcW w:w="2117" w:type="dxa"/>
            <w:vMerge/>
            <w:shd w:val="clear" w:color="auto" w:fill="auto"/>
            <w:vAlign w:val="center"/>
          </w:tcPr>
          <w:p w14:paraId="268E6453" w14:textId="77777777" w:rsidR="00D16AB5" w:rsidRPr="00D618EB" w:rsidRDefault="00D16AB5" w:rsidP="005E7A71">
            <w:pPr>
              <w:ind w:left="284"/>
              <w:jc w:val="both"/>
              <w:rPr>
                <w:i/>
                <w:iCs/>
                <w:sz w:val="22"/>
                <w:szCs w:val="22"/>
              </w:rPr>
            </w:pPr>
          </w:p>
        </w:tc>
      </w:tr>
      <w:tr w:rsidR="00D16AB5" w:rsidRPr="00D618EB" w14:paraId="2E288B16" w14:textId="77777777" w:rsidTr="005E7A71">
        <w:tblPrEx>
          <w:tblCellMar>
            <w:left w:w="108" w:type="dxa"/>
            <w:right w:w="108" w:type="dxa"/>
          </w:tblCellMar>
        </w:tblPrEx>
        <w:trPr>
          <w:trHeight w:val="160"/>
        </w:trPr>
        <w:tc>
          <w:tcPr>
            <w:tcW w:w="2634" w:type="dxa"/>
            <w:vMerge w:val="restart"/>
            <w:shd w:val="clear" w:color="auto" w:fill="auto"/>
            <w:vAlign w:val="center"/>
          </w:tcPr>
          <w:p w14:paraId="350CD421" w14:textId="77777777" w:rsidR="00D16AB5" w:rsidRPr="00D618EB" w:rsidRDefault="00D16AB5" w:rsidP="005E7A71">
            <w:pPr>
              <w:jc w:val="both"/>
              <w:rPr>
                <w:sz w:val="22"/>
                <w:szCs w:val="22"/>
              </w:rPr>
            </w:pPr>
            <w:r w:rsidRPr="00D618EB">
              <w:rPr>
                <w:sz w:val="22"/>
                <w:szCs w:val="22"/>
              </w:rPr>
              <w:t>Azoto oksidai</w:t>
            </w:r>
          </w:p>
        </w:tc>
        <w:tc>
          <w:tcPr>
            <w:tcW w:w="2725" w:type="dxa"/>
            <w:gridSpan w:val="2"/>
            <w:shd w:val="clear" w:color="auto" w:fill="auto"/>
            <w:vAlign w:val="center"/>
          </w:tcPr>
          <w:p w14:paraId="4832C111" w14:textId="77777777" w:rsidR="00D16AB5" w:rsidRPr="00D618EB" w:rsidRDefault="00D16AB5" w:rsidP="005E7A71">
            <w:pPr>
              <w:rPr>
                <w:sz w:val="22"/>
                <w:szCs w:val="22"/>
                <w:lang w:val="en-GB"/>
              </w:rPr>
            </w:pPr>
            <w:r w:rsidRPr="00D618EB">
              <w:rPr>
                <w:sz w:val="22"/>
                <w:szCs w:val="22"/>
              </w:rPr>
              <w:t xml:space="preserve">50 </w:t>
            </w:r>
            <w:r>
              <w:rPr>
                <w:sz w:val="22"/>
                <w:szCs w:val="22"/>
              </w:rPr>
              <w:t>proc.</w:t>
            </w:r>
            <w:r w:rsidRPr="00D618EB">
              <w:rPr>
                <w:sz w:val="22"/>
                <w:szCs w:val="22"/>
              </w:rPr>
              <w:t xml:space="preserve"> ir daugiau</w:t>
            </w:r>
          </w:p>
        </w:tc>
        <w:tc>
          <w:tcPr>
            <w:tcW w:w="1418" w:type="dxa"/>
            <w:shd w:val="clear" w:color="auto" w:fill="auto"/>
            <w:vAlign w:val="center"/>
          </w:tcPr>
          <w:p w14:paraId="5E25832A" w14:textId="77777777" w:rsidR="00D16AB5" w:rsidRPr="00D618EB" w:rsidRDefault="00D16AB5" w:rsidP="005E7A71">
            <w:pPr>
              <w:jc w:val="center"/>
              <w:rPr>
                <w:sz w:val="22"/>
                <w:szCs w:val="22"/>
              </w:rPr>
            </w:pPr>
            <w:r w:rsidRPr="00D618EB">
              <w:rPr>
                <w:sz w:val="22"/>
                <w:szCs w:val="22"/>
              </w:rPr>
              <w:t>30</w:t>
            </w:r>
          </w:p>
        </w:tc>
        <w:tc>
          <w:tcPr>
            <w:tcW w:w="719" w:type="dxa"/>
            <w:vMerge/>
            <w:shd w:val="clear" w:color="auto" w:fill="auto"/>
            <w:vAlign w:val="center"/>
          </w:tcPr>
          <w:p w14:paraId="6025C1DD" w14:textId="77777777" w:rsidR="00D16AB5" w:rsidRPr="00D618EB" w:rsidRDefault="00D16AB5" w:rsidP="005E7A71">
            <w:pPr>
              <w:ind w:left="284"/>
              <w:jc w:val="both"/>
              <w:rPr>
                <w:i/>
                <w:iCs/>
                <w:sz w:val="22"/>
                <w:szCs w:val="22"/>
              </w:rPr>
            </w:pPr>
          </w:p>
        </w:tc>
        <w:tc>
          <w:tcPr>
            <w:tcW w:w="2117" w:type="dxa"/>
            <w:vMerge/>
            <w:shd w:val="clear" w:color="auto" w:fill="auto"/>
            <w:vAlign w:val="center"/>
          </w:tcPr>
          <w:p w14:paraId="238B32CC" w14:textId="77777777" w:rsidR="00D16AB5" w:rsidRPr="00D618EB" w:rsidRDefault="00D16AB5" w:rsidP="005E7A71">
            <w:pPr>
              <w:ind w:left="284"/>
              <w:jc w:val="both"/>
              <w:rPr>
                <w:i/>
                <w:iCs/>
                <w:sz w:val="22"/>
                <w:szCs w:val="22"/>
              </w:rPr>
            </w:pPr>
          </w:p>
        </w:tc>
      </w:tr>
      <w:tr w:rsidR="00D16AB5" w:rsidRPr="00D618EB" w14:paraId="7C1D4694" w14:textId="77777777" w:rsidTr="005E7A71">
        <w:tblPrEx>
          <w:tblCellMar>
            <w:left w:w="108" w:type="dxa"/>
            <w:right w:w="108" w:type="dxa"/>
          </w:tblCellMar>
        </w:tblPrEx>
        <w:trPr>
          <w:trHeight w:val="160"/>
        </w:trPr>
        <w:tc>
          <w:tcPr>
            <w:tcW w:w="2634" w:type="dxa"/>
            <w:vMerge/>
            <w:shd w:val="clear" w:color="auto" w:fill="auto"/>
            <w:vAlign w:val="center"/>
          </w:tcPr>
          <w:p w14:paraId="646C8FB3" w14:textId="77777777" w:rsidR="00D16AB5" w:rsidRPr="00D618EB" w:rsidRDefault="00D16AB5" w:rsidP="005E7A71">
            <w:pPr>
              <w:jc w:val="both"/>
              <w:rPr>
                <w:sz w:val="22"/>
                <w:szCs w:val="22"/>
              </w:rPr>
            </w:pPr>
          </w:p>
        </w:tc>
        <w:tc>
          <w:tcPr>
            <w:tcW w:w="2725" w:type="dxa"/>
            <w:gridSpan w:val="2"/>
            <w:shd w:val="clear" w:color="auto" w:fill="auto"/>
            <w:vAlign w:val="center"/>
          </w:tcPr>
          <w:p w14:paraId="33D1B586" w14:textId="77777777" w:rsidR="00D16AB5" w:rsidRPr="00D618EB" w:rsidRDefault="00D16AB5" w:rsidP="005E7A71">
            <w:pPr>
              <w:rPr>
                <w:i/>
                <w:iCs/>
                <w:sz w:val="22"/>
                <w:szCs w:val="22"/>
              </w:rPr>
            </w:pPr>
            <w:r w:rsidRPr="00D618EB">
              <w:rPr>
                <w:sz w:val="22"/>
                <w:szCs w:val="22"/>
              </w:rPr>
              <w:t xml:space="preserve">25 </w:t>
            </w:r>
            <w:r>
              <w:rPr>
                <w:sz w:val="22"/>
                <w:szCs w:val="22"/>
              </w:rPr>
              <w:t>proc.</w:t>
            </w:r>
            <w:r w:rsidRPr="00D618EB">
              <w:rPr>
                <w:sz w:val="22"/>
                <w:szCs w:val="22"/>
              </w:rPr>
              <w:t xml:space="preserve"> ir daugiau, bet mažiau kaip 50 </w:t>
            </w:r>
            <w:r>
              <w:rPr>
                <w:sz w:val="22"/>
                <w:szCs w:val="22"/>
              </w:rPr>
              <w:t>proc.</w:t>
            </w:r>
          </w:p>
        </w:tc>
        <w:tc>
          <w:tcPr>
            <w:tcW w:w="1418" w:type="dxa"/>
            <w:shd w:val="clear" w:color="auto" w:fill="auto"/>
            <w:vAlign w:val="center"/>
          </w:tcPr>
          <w:p w14:paraId="0F2D93F3" w14:textId="77777777" w:rsidR="00D16AB5" w:rsidRPr="00D618EB" w:rsidRDefault="00D16AB5" w:rsidP="005E7A71">
            <w:pPr>
              <w:jc w:val="center"/>
              <w:rPr>
                <w:sz w:val="22"/>
                <w:szCs w:val="22"/>
              </w:rPr>
            </w:pPr>
            <w:r w:rsidRPr="00D618EB">
              <w:rPr>
                <w:sz w:val="22"/>
                <w:szCs w:val="22"/>
              </w:rPr>
              <w:t xml:space="preserve"> 20</w:t>
            </w:r>
          </w:p>
        </w:tc>
        <w:tc>
          <w:tcPr>
            <w:tcW w:w="719" w:type="dxa"/>
            <w:vMerge/>
            <w:shd w:val="clear" w:color="auto" w:fill="auto"/>
            <w:vAlign w:val="center"/>
          </w:tcPr>
          <w:p w14:paraId="62918294" w14:textId="77777777" w:rsidR="00D16AB5" w:rsidRPr="00D618EB" w:rsidRDefault="00D16AB5" w:rsidP="005E7A71">
            <w:pPr>
              <w:ind w:left="284"/>
              <w:jc w:val="both"/>
              <w:rPr>
                <w:i/>
                <w:iCs/>
                <w:sz w:val="22"/>
                <w:szCs w:val="22"/>
              </w:rPr>
            </w:pPr>
          </w:p>
        </w:tc>
        <w:tc>
          <w:tcPr>
            <w:tcW w:w="2117" w:type="dxa"/>
            <w:vMerge/>
            <w:shd w:val="clear" w:color="auto" w:fill="auto"/>
            <w:vAlign w:val="center"/>
          </w:tcPr>
          <w:p w14:paraId="034B558A" w14:textId="77777777" w:rsidR="00D16AB5" w:rsidRPr="00D618EB" w:rsidRDefault="00D16AB5" w:rsidP="005E7A71">
            <w:pPr>
              <w:ind w:left="284"/>
              <w:jc w:val="both"/>
              <w:rPr>
                <w:i/>
                <w:iCs/>
                <w:sz w:val="22"/>
                <w:szCs w:val="22"/>
              </w:rPr>
            </w:pPr>
          </w:p>
        </w:tc>
      </w:tr>
      <w:tr w:rsidR="00D16AB5" w:rsidRPr="00D618EB" w14:paraId="6A0757F2" w14:textId="77777777" w:rsidTr="005E7A71">
        <w:tblPrEx>
          <w:tblCellMar>
            <w:left w:w="108" w:type="dxa"/>
            <w:right w:w="108" w:type="dxa"/>
          </w:tblCellMar>
        </w:tblPrEx>
        <w:trPr>
          <w:trHeight w:val="160"/>
        </w:trPr>
        <w:tc>
          <w:tcPr>
            <w:tcW w:w="2634" w:type="dxa"/>
            <w:vMerge/>
            <w:shd w:val="clear" w:color="auto" w:fill="auto"/>
            <w:vAlign w:val="center"/>
          </w:tcPr>
          <w:p w14:paraId="0A29857F" w14:textId="77777777" w:rsidR="00D16AB5" w:rsidRPr="00D618EB" w:rsidRDefault="00D16AB5" w:rsidP="005E7A71">
            <w:pPr>
              <w:jc w:val="both"/>
              <w:rPr>
                <w:sz w:val="22"/>
                <w:szCs w:val="22"/>
              </w:rPr>
            </w:pPr>
          </w:p>
        </w:tc>
        <w:tc>
          <w:tcPr>
            <w:tcW w:w="2725" w:type="dxa"/>
            <w:gridSpan w:val="2"/>
            <w:shd w:val="clear" w:color="auto" w:fill="auto"/>
            <w:vAlign w:val="center"/>
          </w:tcPr>
          <w:p w14:paraId="75F30890" w14:textId="77777777" w:rsidR="00D16AB5" w:rsidRPr="00D618EB" w:rsidRDefault="00D16AB5" w:rsidP="005E7A71">
            <w:pPr>
              <w:rPr>
                <w:i/>
                <w:iCs/>
                <w:sz w:val="22"/>
                <w:szCs w:val="22"/>
              </w:rPr>
            </w:pPr>
            <w:r w:rsidRPr="00D618EB">
              <w:rPr>
                <w:sz w:val="22"/>
                <w:szCs w:val="22"/>
              </w:rPr>
              <w:t xml:space="preserve">10 </w:t>
            </w:r>
            <w:r>
              <w:rPr>
                <w:sz w:val="22"/>
                <w:szCs w:val="22"/>
              </w:rPr>
              <w:t>proc.</w:t>
            </w:r>
            <w:r w:rsidRPr="00D618EB">
              <w:rPr>
                <w:sz w:val="22"/>
                <w:szCs w:val="22"/>
              </w:rPr>
              <w:t xml:space="preserve"> ir daugiau, bet mažiau kaip 25 </w:t>
            </w:r>
            <w:r>
              <w:rPr>
                <w:sz w:val="22"/>
                <w:szCs w:val="22"/>
              </w:rPr>
              <w:t>proc.</w:t>
            </w:r>
          </w:p>
        </w:tc>
        <w:tc>
          <w:tcPr>
            <w:tcW w:w="1418" w:type="dxa"/>
            <w:shd w:val="clear" w:color="auto" w:fill="auto"/>
            <w:vAlign w:val="center"/>
          </w:tcPr>
          <w:p w14:paraId="079C7BB2" w14:textId="77777777" w:rsidR="00D16AB5" w:rsidRPr="00D618EB" w:rsidRDefault="00D16AB5" w:rsidP="005E7A71">
            <w:pPr>
              <w:jc w:val="center"/>
              <w:rPr>
                <w:sz w:val="22"/>
                <w:szCs w:val="22"/>
              </w:rPr>
            </w:pPr>
            <w:r w:rsidRPr="00D618EB">
              <w:rPr>
                <w:sz w:val="22"/>
                <w:szCs w:val="22"/>
              </w:rPr>
              <w:t xml:space="preserve"> 15</w:t>
            </w:r>
          </w:p>
        </w:tc>
        <w:tc>
          <w:tcPr>
            <w:tcW w:w="719" w:type="dxa"/>
            <w:vMerge/>
            <w:shd w:val="clear" w:color="auto" w:fill="auto"/>
            <w:vAlign w:val="center"/>
          </w:tcPr>
          <w:p w14:paraId="1942070D" w14:textId="77777777" w:rsidR="00D16AB5" w:rsidRPr="00D618EB" w:rsidRDefault="00D16AB5" w:rsidP="005E7A71">
            <w:pPr>
              <w:ind w:left="284"/>
              <w:jc w:val="both"/>
              <w:rPr>
                <w:i/>
                <w:iCs/>
                <w:sz w:val="22"/>
                <w:szCs w:val="22"/>
              </w:rPr>
            </w:pPr>
          </w:p>
        </w:tc>
        <w:tc>
          <w:tcPr>
            <w:tcW w:w="2117" w:type="dxa"/>
            <w:vMerge/>
            <w:shd w:val="clear" w:color="auto" w:fill="auto"/>
            <w:vAlign w:val="center"/>
          </w:tcPr>
          <w:p w14:paraId="151537B8" w14:textId="77777777" w:rsidR="00D16AB5" w:rsidRPr="00D618EB" w:rsidRDefault="00D16AB5" w:rsidP="005E7A71">
            <w:pPr>
              <w:ind w:left="284"/>
              <w:jc w:val="both"/>
              <w:rPr>
                <w:i/>
                <w:iCs/>
                <w:sz w:val="22"/>
                <w:szCs w:val="22"/>
              </w:rPr>
            </w:pPr>
          </w:p>
        </w:tc>
      </w:tr>
      <w:tr w:rsidR="00D16AB5" w:rsidRPr="00D618EB" w14:paraId="65AFB7E6" w14:textId="77777777" w:rsidTr="005E7A71">
        <w:tblPrEx>
          <w:tblCellMar>
            <w:left w:w="108" w:type="dxa"/>
            <w:right w:w="108" w:type="dxa"/>
          </w:tblCellMar>
        </w:tblPrEx>
        <w:trPr>
          <w:trHeight w:val="50"/>
        </w:trPr>
        <w:tc>
          <w:tcPr>
            <w:tcW w:w="2634" w:type="dxa"/>
            <w:shd w:val="clear" w:color="auto" w:fill="auto"/>
            <w:vAlign w:val="center"/>
          </w:tcPr>
          <w:p w14:paraId="36C5D168" w14:textId="77777777" w:rsidR="00D16AB5" w:rsidRPr="00D618EB" w:rsidRDefault="00D16AB5" w:rsidP="005E7A71">
            <w:pPr>
              <w:rPr>
                <w:sz w:val="22"/>
                <w:szCs w:val="22"/>
              </w:rPr>
            </w:pPr>
            <w:r w:rsidRPr="00D618EB">
              <w:rPr>
                <w:sz w:val="22"/>
                <w:szCs w:val="22"/>
              </w:rPr>
              <w:t>3.2. Kietąjį kurą deginančio įrenginio eksploatavimo vieta</w:t>
            </w:r>
          </w:p>
        </w:tc>
        <w:tc>
          <w:tcPr>
            <w:tcW w:w="2725" w:type="dxa"/>
            <w:gridSpan w:val="2"/>
            <w:shd w:val="clear" w:color="auto" w:fill="auto"/>
            <w:vAlign w:val="center"/>
          </w:tcPr>
          <w:p w14:paraId="5DFF4B3C" w14:textId="77777777" w:rsidR="00D16AB5" w:rsidRPr="00D618EB" w:rsidRDefault="00D16AB5" w:rsidP="005E7A71">
            <w:pPr>
              <w:ind w:left="67"/>
              <w:rPr>
                <w:sz w:val="22"/>
                <w:szCs w:val="22"/>
              </w:rPr>
            </w:pPr>
          </w:p>
        </w:tc>
        <w:tc>
          <w:tcPr>
            <w:tcW w:w="1418" w:type="dxa"/>
            <w:shd w:val="clear" w:color="auto" w:fill="auto"/>
            <w:vAlign w:val="center"/>
          </w:tcPr>
          <w:p w14:paraId="25F62F70" w14:textId="77777777" w:rsidR="00D16AB5" w:rsidRPr="00D618EB" w:rsidRDefault="00D16AB5" w:rsidP="005E7A71">
            <w:pPr>
              <w:ind w:left="35"/>
              <w:jc w:val="center"/>
              <w:rPr>
                <w:iCs/>
                <w:sz w:val="22"/>
                <w:szCs w:val="22"/>
              </w:rPr>
            </w:pPr>
            <w:r w:rsidRPr="00D618EB">
              <w:rPr>
                <w:iCs/>
                <w:sz w:val="22"/>
                <w:szCs w:val="22"/>
              </w:rPr>
              <w:t>10</w:t>
            </w:r>
          </w:p>
        </w:tc>
        <w:tc>
          <w:tcPr>
            <w:tcW w:w="719" w:type="dxa"/>
            <w:shd w:val="clear" w:color="auto" w:fill="auto"/>
            <w:vAlign w:val="center"/>
          </w:tcPr>
          <w:p w14:paraId="7086B214" w14:textId="77777777" w:rsidR="00D16AB5" w:rsidRPr="00D618EB" w:rsidRDefault="00D16AB5" w:rsidP="005E7A71">
            <w:pPr>
              <w:ind w:left="284"/>
              <w:jc w:val="both"/>
              <w:rPr>
                <w:i/>
                <w:iCs/>
                <w:sz w:val="22"/>
                <w:szCs w:val="22"/>
              </w:rPr>
            </w:pPr>
          </w:p>
        </w:tc>
        <w:tc>
          <w:tcPr>
            <w:tcW w:w="2117" w:type="dxa"/>
            <w:shd w:val="clear" w:color="auto" w:fill="auto"/>
            <w:vAlign w:val="center"/>
          </w:tcPr>
          <w:p w14:paraId="7A6A93A9" w14:textId="77777777" w:rsidR="00D16AB5" w:rsidRPr="00D618EB" w:rsidRDefault="00D16AB5" w:rsidP="005E7A71">
            <w:pPr>
              <w:rPr>
                <w:i/>
                <w:iCs/>
                <w:sz w:val="22"/>
                <w:szCs w:val="22"/>
              </w:rPr>
            </w:pPr>
          </w:p>
        </w:tc>
      </w:tr>
      <w:tr w:rsidR="00D16AB5" w:rsidRPr="00D618EB" w14:paraId="3890CE89" w14:textId="77777777" w:rsidTr="005E7A71">
        <w:tblPrEx>
          <w:tblCellMar>
            <w:left w:w="108" w:type="dxa"/>
            <w:right w:w="108" w:type="dxa"/>
          </w:tblCellMar>
        </w:tblPrEx>
        <w:trPr>
          <w:trHeight w:val="50"/>
        </w:trPr>
        <w:tc>
          <w:tcPr>
            <w:tcW w:w="2634" w:type="dxa"/>
            <w:vAlign w:val="center"/>
          </w:tcPr>
          <w:p w14:paraId="212ED5FD" w14:textId="77777777" w:rsidR="00D16AB5" w:rsidRPr="00D618EB" w:rsidDel="00BE711F" w:rsidRDefault="00D16AB5" w:rsidP="005E7A71">
            <w:pPr>
              <w:rPr>
                <w:sz w:val="22"/>
                <w:szCs w:val="22"/>
              </w:rPr>
            </w:pPr>
          </w:p>
        </w:tc>
        <w:tc>
          <w:tcPr>
            <w:tcW w:w="2725" w:type="dxa"/>
            <w:gridSpan w:val="2"/>
            <w:shd w:val="clear" w:color="auto" w:fill="auto"/>
            <w:vAlign w:val="center"/>
          </w:tcPr>
          <w:p w14:paraId="1CD3FFD0" w14:textId="77777777" w:rsidR="00D16AB5" w:rsidRPr="00D618EB" w:rsidRDefault="00D16AB5" w:rsidP="005E7A71">
            <w:pPr>
              <w:ind w:left="67"/>
              <w:rPr>
                <w:iCs/>
                <w:sz w:val="22"/>
                <w:szCs w:val="22"/>
              </w:rPr>
            </w:pPr>
            <w:r w:rsidRPr="00D618EB">
              <w:rPr>
                <w:sz w:val="22"/>
                <w:szCs w:val="22"/>
              </w:rPr>
              <w:t>Kurą deginančio įrenginio eksploatavimo (veiklos) vieta</w:t>
            </w:r>
            <w:r w:rsidRPr="00D618EB">
              <w:rPr>
                <w:iCs/>
                <w:sz w:val="22"/>
                <w:szCs w:val="22"/>
              </w:rPr>
              <w:t xml:space="preserve"> patenka į didžiųjų Lietuvos miestų (Vilniaus, Kauno, Klaipėdos, Šiaulių, Panevėžio) </w:t>
            </w:r>
            <w:r w:rsidRPr="00D618EB">
              <w:rPr>
                <w:i/>
                <w:iCs/>
                <w:sz w:val="22"/>
                <w:szCs w:val="22"/>
              </w:rPr>
              <w:t>padidintos aplinkos oro taršos</w:t>
            </w:r>
            <w:r w:rsidRPr="00D618EB">
              <w:rPr>
                <w:iCs/>
                <w:sz w:val="22"/>
                <w:szCs w:val="22"/>
              </w:rPr>
              <w:t xml:space="preserve"> (kietosiomis dalelėmis) </w:t>
            </w:r>
            <w:r w:rsidRPr="00D618EB">
              <w:rPr>
                <w:i/>
                <w:iCs/>
                <w:sz w:val="22"/>
                <w:szCs w:val="22"/>
              </w:rPr>
              <w:t>zoną</w:t>
            </w:r>
          </w:p>
        </w:tc>
        <w:tc>
          <w:tcPr>
            <w:tcW w:w="1418" w:type="dxa"/>
            <w:shd w:val="clear" w:color="auto" w:fill="auto"/>
            <w:vAlign w:val="center"/>
          </w:tcPr>
          <w:p w14:paraId="0C098B2F" w14:textId="77777777" w:rsidR="00D16AB5" w:rsidRPr="00D618EB" w:rsidRDefault="00D16AB5" w:rsidP="005E7A71">
            <w:pPr>
              <w:ind w:left="35"/>
              <w:jc w:val="center"/>
              <w:rPr>
                <w:iCs/>
                <w:sz w:val="22"/>
                <w:szCs w:val="22"/>
                <w:lang w:val="en-GB"/>
              </w:rPr>
            </w:pPr>
            <w:r w:rsidRPr="00D618EB">
              <w:rPr>
                <w:iCs/>
                <w:sz w:val="22"/>
                <w:szCs w:val="22"/>
              </w:rPr>
              <w:t>10</w:t>
            </w:r>
          </w:p>
        </w:tc>
        <w:tc>
          <w:tcPr>
            <w:tcW w:w="719" w:type="dxa"/>
            <w:shd w:val="clear" w:color="auto" w:fill="auto"/>
            <w:vAlign w:val="center"/>
          </w:tcPr>
          <w:p w14:paraId="652D3B86" w14:textId="77777777" w:rsidR="00D16AB5" w:rsidRPr="00D618EB" w:rsidRDefault="00D16AB5" w:rsidP="005E7A71">
            <w:pPr>
              <w:ind w:left="284"/>
              <w:jc w:val="both"/>
              <w:rPr>
                <w:i/>
                <w:iCs/>
                <w:sz w:val="22"/>
                <w:szCs w:val="22"/>
              </w:rPr>
            </w:pPr>
          </w:p>
        </w:tc>
        <w:tc>
          <w:tcPr>
            <w:tcW w:w="2117" w:type="dxa"/>
            <w:tcBorders>
              <w:bottom w:val="nil"/>
            </w:tcBorders>
            <w:shd w:val="clear" w:color="auto" w:fill="auto"/>
            <w:vAlign w:val="center"/>
          </w:tcPr>
          <w:p w14:paraId="13517F64" w14:textId="77777777" w:rsidR="00D16AB5" w:rsidRPr="00D618EB" w:rsidRDefault="00D16AB5" w:rsidP="005E7A71">
            <w:pPr>
              <w:rPr>
                <w:i/>
                <w:iCs/>
                <w:sz w:val="22"/>
                <w:szCs w:val="22"/>
              </w:rPr>
            </w:pPr>
            <w:r w:rsidRPr="00D618EB">
              <w:rPr>
                <w:i/>
                <w:iCs/>
                <w:sz w:val="22"/>
                <w:szCs w:val="22"/>
              </w:rPr>
              <w:t>Vertinama, ar kurą deginantis įrenginys eksploatuojamas Vilniaus, Kauno, Klaipėdos, Šiaulių ar Panevėžio miesto teritorijoje, kuri patenka į padidintos aplinkos oro taršos zoną</w:t>
            </w:r>
            <w:r w:rsidRPr="00D618EB">
              <w:rPr>
                <w:rStyle w:val="Puslapioinaosnuoroda"/>
                <w:rFonts w:eastAsia="Cumberland"/>
                <w:i/>
                <w:iCs/>
                <w:sz w:val="22"/>
                <w:szCs w:val="22"/>
              </w:rPr>
              <w:footnoteReference w:id="3"/>
            </w:r>
            <w:r w:rsidRPr="00D618EB">
              <w:rPr>
                <w:i/>
                <w:iCs/>
                <w:sz w:val="22"/>
                <w:szCs w:val="22"/>
              </w:rPr>
              <w:t>, kitą išvardintų ar kitų Lietuvos miestų</w:t>
            </w:r>
            <w:r w:rsidRPr="00D618EB">
              <w:rPr>
                <w:rStyle w:val="Puslapioinaosnuoroda"/>
                <w:rFonts w:eastAsia="Cumberland"/>
                <w:i/>
                <w:iCs/>
                <w:sz w:val="22"/>
                <w:szCs w:val="22"/>
              </w:rPr>
              <w:footnoteReference w:id="4"/>
            </w:r>
            <w:r w:rsidRPr="00D618EB">
              <w:rPr>
                <w:i/>
                <w:iCs/>
                <w:sz w:val="22"/>
                <w:szCs w:val="22"/>
              </w:rPr>
              <w:t xml:space="preserve"> teritoriją</w:t>
            </w:r>
          </w:p>
        </w:tc>
      </w:tr>
      <w:tr w:rsidR="00D16AB5" w:rsidRPr="00D618EB" w14:paraId="10EC9F74" w14:textId="77777777" w:rsidTr="005E7A71">
        <w:tblPrEx>
          <w:tblCellMar>
            <w:left w:w="108" w:type="dxa"/>
            <w:right w:w="108" w:type="dxa"/>
          </w:tblCellMar>
        </w:tblPrEx>
        <w:trPr>
          <w:trHeight w:val="50"/>
        </w:trPr>
        <w:tc>
          <w:tcPr>
            <w:tcW w:w="2634" w:type="dxa"/>
            <w:vAlign w:val="center"/>
          </w:tcPr>
          <w:p w14:paraId="265021E2" w14:textId="77777777" w:rsidR="00D16AB5" w:rsidRPr="00D618EB" w:rsidRDefault="00D16AB5" w:rsidP="005E7A71">
            <w:pPr>
              <w:rPr>
                <w:sz w:val="22"/>
                <w:szCs w:val="22"/>
              </w:rPr>
            </w:pPr>
          </w:p>
        </w:tc>
        <w:tc>
          <w:tcPr>
            <w:tcW w:w="2725" w:type="dxa"/>
            <w:gridSpan w:val="2"/>
            <w:shd w:val="clear" w:color="auto" w:fill="auto"/>
            <w:vAlign w:val="center"/>
          </w:tcPr>
          <w:p w14:paraId="6B3092D9" w14:textId="77777777" w:rsidR="00D16AB5" w:rsidRPr="00D618EB" w:rsidRDefault="00D16AB5" w:rsidP="005E7A71">
            <w:pPr>
              <w:ind w:left="67"/>
              <w:rPr>
                <w:sz w:val="22"/>
                <w:szCs w:val="22"/>
              </w:rPr>
            </w:pPr>
            <w:r w:rsidRPr="00D618EB">
              <w:rPr>
                <w:sz w:val="22"/>
                <w:szCs w:val="22"/>
              </w:rPr>
              <w:t>Kurą deginančio įrenginio eksploatavimo vieta</w:t>
            </w:r>
            <w:r w:rsidRPr="00D618EB">
              <w:rPr>
                <w:iCs/>
                <w:sz w:val="22"/>
                <w:szCs w:val="22"/>
              </w:rPr>
              <w:t xml:space="preserve"> yra kitoje didžiųjų Lietuvos miestų (Vilniaus, Kauno, </w:t>
            </w:r>
            <w:r w:rsidRPr="00D618EB">
              <w:rPr>
                <w:iCs/>
                <w:sz w:val="22"/>
                <w:szCs w:val="22"/>
              </w:rPr>
              <w:lastRenderedPageBreak/>
              <w:t>Klaipėdos, Šiaulių, Panevėžio) teritorijoje arba kitame Lietuvos mieste</w:t>
            </w:r>
          </w:p>
        </w:tc>
        <w:tc>
          <w:tcPr>
            <w:tcW w:w="1418" w:type="dxa"/>
            <w:shd w:val="clear" w:color="auto" w:fill="auto"/>
            <w:vAlign w:val="center"/>
          </w:tcPr>
          <w:p w14:paraId="417E6E11" w14:textId="77777777" w:rsidR="00D16AB5" w:rsidRPr="00D618EB" w:rsidRDefault="00D16AB5" w:rsidP="005E7A71">
            <w:pPr>
              <w:ind w:left="35"/>
              <w:jc w:val="center"/>
              <w:rPr>
                <w:iCs/>
                <w:sz w:val="22"/>
                <w:szCs w:val="22"/>
              </w:rPr>
            </w:pPr>
            <w:r w:rsidRPr="00D618EB">
              <w:rPr>
                <w:iCs/>
                <w:sz w:val="22"/>
                <w:szCs w:val="22"/>
              </w:rPr>
              <w:lastRenderedPageBreak/>
              <w:t>5</w:t>
            </w:r>
          </w:p>
        </w:tc>
        <w:tc>
          <w:tcPr>
            <w:tcW w:w="719" w:type="dxa"/>
            <w:shd w:val="clear" w:color="auto" w:fill="auto"/>
            <w:vAlign w:val="center"/>
          </w:tcPr>
          <w:p w14:paraId="2A5156EC" w14:textId="77777777" w:rsidR="00D16AB5" w:rsidRPr="00D618EB" w:rsidRDefault="00D16AB5" w:rsidP="005E7A71">
            <w:pPr>
              <w:ind w:left="284"/>
              <w:jc w:val="both"/>
              <w:rPr>
                <w:i/>
                <w:iCs/>
                <w:sz w:val="22"/>
                <w:szCs w:val="22"/>
              </w:rPr>
            </w:pPr>
          </w:p>
        </w:tc>
        <w:tc>
          <w:tcPr>
            <w:tcW w:w="2117" w:type="dxa"/>
            <w:tcBorders>
              <w:top w:val="nil"/>
              <w:bottom w:val="nil"/>
            </w:tcBorders>
            <w:shd w:val="clear" w:color="auto" w:fill="auto"/>
            <w:vAlign w:val="center"/>
          </w:tcPr>
          <w:p w14:paraId="0D805FEC" w14:textId="77777777" w:rsidR="00D16AB5" w:rsidRPr="00D618EB" w:rsidRDefault="00D16AB5" w:rsidP="005E7A71">
            <w:pPr>
              <w:rPr>
                <w:i/>
                <w:iCs/>
                <w:sz w:val="22"/>
                <w:szCs w:val="22"/>
              </w:rPr>
            </w:pPr>
          </w:p>
        </w:tc>
      </w:tr>
      <w:tr w:rsidR="00D16AB5" w:rsidRPr="00D618EB" w14:paraId="318FF8B0" w14:textId="77777777" w:rsidTr="005E7A71">
        <w:trPr>
          <w:trHeight w:val="409"/>
        </w:trPr>
        <w:tc>
          <w:tcPr>
            <w:tcW w:w="2634" w:type="dxa"/>
            <w:vAlign w:val="center"/>
          </w:tcPr>
          <w:p w14:paraId="60ADD9E3" w14:textId="77777777" w:rsidR="00D16AB5" w:rsidRPr="00D618EB" w:rsidRDefault="00D16AB5" w:rsidP="005E7A71">
            <w:pPr>
              <w:jc w:val="both"/>
              <w:rPr>
                <w:b/>
                <w:sz w:val="22"/>
                <w:szCs w:val="22"/>
              </w:rPr>
            </w:pPr>
            <w:r w:rsidRPr="00D618EB">
              <w:rPr>
                <w:b/>
                <w:sz w:val="22"/>
                <w:szCs w:val="22"/>
              </w:rPr>
              <w:t>Bendras balų skaičius</w:t>
            </w:r>
          </w:p>
        </w:tc>
        <w:tc>
          <w:tcPr>
            <w:tcW w:w="2725" w:type="dxa"/>
            <w:gridSpan w:val="2"/>
            <w:shd w:val="clear" w:color="auto" w:fill="auto"/>
            <w:vAlign w:val="center"/>
          </w:tcPr>
          <w:p w14:paraId="088CD4E0" w14:textId="77777777" w:rsidR="00D16AB5" w:rsidRPr="00D618EB" w:rsidRDefault="00D16AB5" w:rsidP="005E7A71">
            <w:pPr>
              <w:jc w:val="both"/>
              <w:rPr>
                <w:sz w:val="22"/>
                <w:szCs w:val="22"/>
              </w:rPr>
            </w:pPr>
          </w:p>
        </w:tc>
        <w:tc>
          <w:tcPr>
            <w:tcW w:w="1418" w:type="dxa"/>
            <w:shd w:val="clear" w:color="auto" w:fill="auto"/>
            <w:vAlign w:val="center"/>
          </w:tcPr>
          <w:p w14:paraId="1DCF4F12" w14:textId="77777777" w:rsidR="00D16AB5" w:rsidRPr="00D618EB" w:rsidRDefault="00D16AB5" w:rsidP="005E7A71">
            <w:pPr>
              <w:jc w:val="center"/>
              <w:rPr>
                <w:b/>
                <w:sz w:val="22"/>
                <w:szCs w:val="22"/>
              </w:rPr>
            </w:pPr>
            <w:r w:rsidRPr="00D618EB">
              <w:rPr>
                <w:b/>
                <w:sz w:val="22"/>
                <w:szCs w:val="22"/>
              </w:rPr>
              <w:t>∑ 100</w:t>
            </w:r>
          </w:p>
        </w:tc>
        <w:tc>
          <w:tcPr>
            <w:tcW w:w="719" w:type="dxa"/>
            <w:shd w:val="clear" w:color="auto" w:fill="auto"/>
          </w:tcPr>
          <w:p w14:paraId="35193A22" w14:textId="77777777" w:rsidR="00D16AB5" w:rsidRPr="00D618EB" w:rsidRDefault="00D16AB5" w:rsidP="005E7A71">
            <w:pPr>
              <w:keepNext/>
              <w:jc w:val="both"/>
              <w:rPr>
                <w:sz w:val="22"/>
                <w:szCs w:val="22"/>
              </w:rPr>
            </w:pPr>
          </w:p>
        </w:tc>
        <w:tc>
          <w:tcPr>
            <w:tcW w:w="2117" w:type="dxa"/>
            <w:shd w:val="clear" w:color="auto" w:fill="auto"/>
          </w:tcPr>
          <w:p w14:paraId="23D806F7" w14:textId="77777777" w:rsidR="00D16AB5" w:rsidRPr="00D618EB" w:rsidRDefault="00D16AB5" w:rsidP="005E7A71">
            <w:pPr>
              <w:keepNext/>
              <w:jc w:val="both"/>
              <w:rPr>
                <w:sz w:val="22"/>
                <w:szCs w:val="22"/>
              </w:rPr>
            </w:pPr>
          </w:p>
        </w:tc>
      </w:tr>
    </w:tbl>
    <w:p w14:paraId="7B44524C" w14:textId="77777777" w:rsidR="00D16AB5" w:rsidRPr="00D618EB" w:rsidRDefault="00D16AB5" w:rsidP="00D16AB5">
      <w:pPr>
        <w:jc w:val="both"/>
        <w:rPr>
          <w:bCs/>
          <w:i/>
          <w:sz w:val="22"/>
          <w:szCs w:val="22"/>
        </w:rPr>
      </w:pPr>
    </w:p>
    <w:p w14:paraId="07163010" w14:textId="77777777" w:rsidR="00D16AB5" w:rsidRPr="00D618EB" w:rsidRDefault="00D16AB5" w:rsidP="00D16AB5">
      <w:pPr>
        <w:jc w:val="both"/>
        <w:rPr>
          <w:bCs/>
          <w:i/>
          <w:sz w:val="22"/>
          <w:szCs w:val="22"/>
        </w:rPr>
      </w:pPr>
      <w:r w:rsidRPr="00D618EB">
        <w:rPr>
          <w:bCs/>
          <w:i/>
          <w:sz w:val="22"/>
          <w:szCs w:val="22"/>
        </w:rPr>
        <w:t>Jei projekto naudos ir kokybės vertinimo metu projektui suteikiama mažiau kaip 30 balų, paraiška atmetama.</w:t>
      </w:r>
    </w:p>
    <w:p w14:paraId="793E926D" w14:textId="77777777" w:rsidR="00D16AB5" w:rsidRPr="00D618EB" w:rsidRDefault="00D16AB5" w:rsidP="00D16AB5">
      <w:pPr>
        <w:jc w:val="both"/>
        <w:rPr>
          <w:i/>
          <w:sz w:val="22"/>
          <w:szCs w:val="22"/>
        </w:rPr>
      </w:pPr>
      <w:r w:rsidRPr="00D618EB">
        <w:rPr>
          <w:i/>
          <w:sz w:val="22"/>
          <w:szCs w:val="22"/>
        </w:rPr>
        <w:t>*Jeigu įvertinti pagal šią lentelę projektai surenka vienodai balų (ne mažiau kaip 30), reitinguojama pagal subsidijos aplinkosauginį efektą, prioritetą teikiant didesnio aplinkosauginio efekto siekiančiam projektui.</w:t>
      </w:r>
    </w:p>
    <w:p w14:paraId="70845DC6" w14:textId="77777777" w:rsidR="00D16AB5" w:rsidRPr="00D618EB" w:rsidRDefault="00D16AB5" w:rsidP="00D16AB5">
      <w:pPr>
        <w:jc w:val="both"/>
        <w:rPr>
          <w:i/>
          <w:sz w:val="22"/>
          <w:szCs w:val="22"/>
        </w:rPr>
      </w:pPr>
    </w:p>
    <w:tbl>
      <w:tblPr>
        <w:tblW w:w="9606" w:type="dxa"/>
        <w:tblLook w:val="0000" w:firstRow="0" w:lastRow="0" w:firstColumn="0" w:lastColumn="0" w:noHBand="0" w:noVBand="0"/>
      </w:tblPr>
      <w:tblGrid>
        <w:gridCol w:w="3943"/>
        <w:gridCol w:w="5663"/>
      </w:tblGrid>
      <w:tr w:rsidR="00D16AB5" w:rsidRPr="00C44D5E" w14:paraId="6CAD7FF6" w14:textId="77777777" w:rsidTr="005E7A71">
        <w:trPr>
          <w:trHeight w:val="395"/>
        </w:trPr>
        <w:tc>
          <w:tcPr>
            <w:tcW w:w="3943" w:type="dxa"/>
            <w:tcBorders>
              <w:top w:val="single" w:sz="4" w:space="0" w:color="auto"/>
              <w:left w:val="single" w:sz="4" w:space="0" w:color="auto"/>
              <w:bottom w:val="single" w:sz="4" w:space="0" w:color="auto"/>
              <w:right w:val="single" w:sz="4" w:space="0" w:color="auto"/>
            </w:tcBorders>
            <w:vAlign w:val="center"/>
          </w:tcPr>
          <w:p w14:paraId="210E70A3" w14:textId="77777777" w:rsidR="00D16AB5" w:rsidRPr="00D618EB" w:rsidRDefault="00D16AB5" w:rsidP="005E7A71">
            <w:pPr>
              <w:jc w:val="center"/>
              <w:rPr>
                <w:sz w:val="22"/>
                <w:szCs w:val="22"/>
              </w:rPr>
            </w:pPr>
            <w:r w:rsidRPr="00D618EB">
              <w:rPr>
                <w:sz w:val="22"/>
                <w:szCs w:val="22"/>
              </w:rPr>
              <w:t>Subsidijos aplinkosauginis efektas</w:t>
            </w:r>
          </w:p>
        </w:tc>
        <w:tc>
          <w:tcPr>
            <w:tcW w:w="5663" w:type="dxa"/>
            <w:tcBorders>
              <w:top w:val="single" w:sz="4" w:space="0" w:color="auto"/>
              <w:left w:val="single" w:sz="4" w:space="0" w:color="auto"/>
              <w:bottom w:val="single" w:sz="4" w:space="0" w:color="auto"/>
              <w:right w:val="single" w:sz="4" w:space="0" w:color="auto"/>
            </w:tcBorders>
            <w:vAlign w:val="center"/>
          </w:tcPr>
          <w:p w14:paraId="4203F2DC" w14:textId="77777777" w:rsidR="00D16AB5" w:rsidRPr="00D618EB" w:rsidRDefault="00D16AB5" w:rsidP="005E7A71">
            <w:pPr>
              <w:rPr>
                <w:sz w:val="22"/>
                <w:szCs w:val="22"/>
              </w:rPr>
            </w:pPr>
            <w:r w:rsidRPr="00D618EB">
              <w:rPr>
                <w:sz w:val="22"/>
                <w:szCs w:val="22"/>
              </w:rPr>
              <w:t>Balai apskaičiuojami pagal formulę</w:t>
            </w:r>
            <w:r w:rsidRPr="00D618EB">
              <w:rPr>
                <w:sz w:val="22"/>
                <w:szCs w:val="22"/>
                <w:vertAlign w:val="superscript"/>
              </w:rPr>
              <w:footnoteReference w:id="5"/>
            </w:r>
            <w:r w:rsidRPr="00D618EB">
              <w:rPr>
                <w:sz w:val="22"/>
                <w:szCs w:val="22"/>
              </w:rPr>
              <w:t>:</w:t>
            </w:r>
          </w:p>
          <w:p w14:paraId="2C88AD00" w14:textId="77777777" w:rsidR="00D16AB5" w:rsidRPr="00D618EB" w:rsidRDefault="00D16AB5" w:rsidP="005E7A71">
            <w:pPr>
              <w:rPr>
                <w:sz w:val="22"/>
                <w:szCs w:val="22"/>
              </w:rPr>
            </w:pPr>
            <w:r w:rsidRPr="00D618EB">
              <w:rPr>
                <w:sz w:val="22"/>
                <w:szCs w:val="22"/>
              </w:rPr>
              <w:t>E</w:t>
            </w:r>
            <w:r w:rsidRPr="00D618EB">
              <w:rPr>
                <w:sz w:val="22"/>
                <w:szCs w:val="22"/>
                <w:vertAlign w:val="subscript"/>
              </w:rPr>
              <w:t>i</w:t>
            </w:r>
            <w:r w:rsidRPr="00D618EB">
              <w:rPr>
                <w:sz w:val="22"/>
                <w:szCs w:val="22"/>
              </w:rPr>
              <w:t xml:space="preserve"> = (</w:t>
            </w:r>
            <w:proofErr w:type="spellStart"/>
            <w:r w:rsidRPr="00D618EB">
              <w:rPr>
                <w:sz w:val="22"/>
                <w:szCs w:val="22"/>
              </w:rPr>
              <w:t>R</w:t>
            </w:r>
            <w:r w:rsidRPr="00D618EB">
              <w:rPr>
                <w:sz w:val="22"/>
                <w:szCs w:val="22"/>
                <w:vertAlign w:val="subscript"/>
              </w:rPr>
              <w:t>i</w:t>
            </w:r>
            <w:proofErr w:type="spellEnd"/>
            <w:r w:rsidRPr="00D618EB">
              <w:rPr>
                <w:sz w:val="22"/>
                <w:szCs w:val="22"/>
              </w:rPr>
              <w:t>/</w:t>
            </w:r>
            <w:proofErr w:type="spellStart"/>
            <w:r w:rsidRPr="00D618EB">
              <w:rPr>
                <w:sz w:val="22"/>
                <w:szCs w:val="22"/>
              </w:rPr>
              <w:t>R</w:t>
            </w:r>
            <w:r w:rsidRPr="00D618EB">
              <w:rPr>
                <w:sz w:val="22"/>
                <w:szCs w:val="22"/>
                <w:vertAlign w:val="subscript"/>
              </w:rPr>
              <w:t>max</w:t>
            </w:r>
            <w:proofErr w:type="spellEnd"/>
            <w:r w:rsidRPr="00D618EB">
              <w:rPr>
                <w:sz w:val="22"/>
                <w:szCs w:val="22"/>
              </w:rPr>
              <w:t>)×10,</w:t>
            </w:r>
          </w:p>
          <w:p w14:paraId="1261B2FE" w14:textId="77777777" w:rsidR="00D16AB5" w:rsidRPr="00D618EB" w:rsidRDefault="00D16AB5" w:rsidP="005E7A71">
            <w:pPr>
              <w:rPr>
                <w:sz w:val="22"/>
                <w:szCs w:val="22"/>
              </w:rPr>
            </w:pPr>
            <w:r w:rsidRPr="00D618EB">
              <w:rPr>
                <w:sz w:val="22"/>
                <w:szCs w:val="22"/>
              </w:rPr>
              <w:t>kur:</w:t>
            </w:r>
          </w:p>
          <w:p w14:paraId="491C7385" w14:textId="77777777" w:rsidR="00D16AB5" w:rsidRPr="00D618EB" w:rsidRDefault="00D16AB5" w:rsidP="005E7A71">
            <w:pPr>
              <w:rPr>
                <w:sz w:val="22"/>
                <w:szCs w:val="22"/>
              </w:rPr>
            </w:pPr>
            <w:r w:rsidRPr="00D618EB">
              <w:rPr>
                <w:sz w:val="22"/>
                <w:szCs w:val="22"/>
              </w:rPr>
              <w:t>E</w:t>
            </w:r>
            <w:r w:rsidRPr="00D618EB">
              <w:rPr>
                <w:sz w:val="22"/>
                <w:szCs w:val="22"/>
                <w:vertAlign w:val="subscript"/>
              </w:rPr>
              <w:t>i</w:t>
            </w:r>
            <w:r w:rsidRPr="00D618EB">
              <w:rPr>
                <w:sz w:val="22"/>
                <w:szCs w:val="22"/>
              </w:rPr>
              <w:t xml:space="preserve"> – vertinamo projekto subsidijos aplinkosauginio efekto balai;</w:t>
            </w:r>
          </w:p>
          <w:p w14:paraId="63888676" w14:textId="77777777" w:rsidR="00D16AB5" w:rsidRPr="00D618EB" w:rsidRDefault="00D16AB5" w:rsidP="005E7A71">
            <w:pPr>
              <w:rPr>
                <w:sz w:val="22"/>
                <w:szCs w:val="22"/>
              </w:rPr>
            </w:pPr>
            <w:proofErr w:type="spellStart"/>
            <w:r w:rsidRPr="00D618EB">
              <w:rPr>
                <w:sz w:val="22"/>
                <w:szCs w:val="22"/>
              </w:rPr>
              <w:t>R</w:t>
            </w:r>
            <w:r w:rsidRPr="00D618EB">
              <w:rPr>
                <w:sz w:val="22"/>
                <w:szCs w:val="22"/>
                <w:vertAlign w:val="subscript"/>
              </w:rPr>
              <w:t>i</w:t>
            </w:r>
            <w:proofErr w:type="spellEnd"/>
            <w:r w:rsidRPr="00D618EB">
              <w:rPr>
                <w:sz w:val="22"/>
                <w:szCs w:val="22"/>
              </w:rPr>
              <w:t xml:space="preserve"> – vertinamo projekto subsidijos aplinkosauginio efekto reikšmė, kg/Eur;</w:t>
            </w:r>
          </w:p>
          <w:p w14:paraId="079B5235" w14:textId="77777777" w:rsidR="00D16AB5" w:rsidRPr="00D618EB" w:rsidRDefault="00D16AB5" w:rsidP="005E7A71">
            <w:pPr>
              <w:keepNext/>
              <w:rPr>
                <w:sz w:val="22"/>
                <w:szCs w:val="22"/>
              </w:rPr>
            </w:pPr>
            <w:proofErr w:type="spellStart"/>
            <w:r w:rsidRPr="00D618EB">
              <w:rPr>
                <w:sz w:val="22"/>
                <w:szCs w:val="22"/>
              </w:rPr>
              <w:t>R</w:t>
            </w:r>
            <w:r w:rsidRPr="00D618EB">
              <w:rPr>
                <w:sz w:val="22"/>
                <w:szCs w:val="22"/>
                <w:vertAlign w:val="subscript"/>
              </w:rPr>
              <w:t>max</w:t>
            </w:r>
            <w:proofErr w:type="spellEnd"/>
            <w:r w:rsidRPr="00D618EB">
              <w:rPr>
                <w:sz w:val="22"/>
                <w:szCs w:val="22"/>
              </w:rPr>
              <w:t xml:space="preserve"> – didžiausia visų vertinamų projektų paraiškose nustatyta subsidijos aplinkosauginio efekto reikšmė, kg/Eur</w:t>
            </w:r>
          </w:p>
        </w:tc>
      </w:tr>
    </w:tbl>
    <w:p w14:paraId="5712EFDC" w14:textId="77777777" w:rsidR="00D16AB5" w:rsidRDefault="00D16AB5" w:rsidP="00D16AB5">
      <w:pPr>
        <w:jc w:val="both"/>
        <w:rPr>
          <w:sz w:val="22"/>
          <w:szCs w:val="24"/>
        </w:rPr>
      </w:pPr>
    </w:p>
    <w:p w14:paraId="0C88AF8E" w14:textId="77777777" w:rsidR="00D16AB5" w:rsidRPr="00C44D5E" w:rsidRDefault="00D16AB5" w:rsidP="00D16AB5">
      <w:pPr>
        <w:jc w:val="both"/>
        <w:rPr>
          <w:sz w:val="22"/>
          <w:szCs w:val="24"/>
        </w:rPr>
      </w:pPr>
    </w:p>
    <w:p w14:paraId="72C38BE3" w14:textId="77777777" w:rsidR="00D16AB5" w:rsidRPr="00D618EB" w:rsidRDefault="00D16AB5" w:rsidP="00D16AB5">
      <w:pPr>
        <w:rPr>
          <w:sz w:val="22"/>
          <w:szCs w:val="22"/>
        </w:rPr>
      </w:pPr>
      <w:r w:rsidRPr="00D618EB">
        <w:rPr>
          <w:sz w:val="22"/>
          <w:szCs w:val="22"/>
        </w:rPr>
        <w:t>Vertintojas (vardas, pavardė, parašas, data):</w:t>
      </w:r>
    </w:p>
    <w:p w14:paraId="52DA713C" w14:textId="77777777" w:rsidR="00D16AB5" w:rsidRPr="00C44D5E" w:rsidRDefault="00D16AB5" w:rsidP="00D16AB5">
      <w:pPr>
        <w:jc w:val="center"/>
        <w:rPr>
          <w:u w:val="single"/>
        </w:rPr>
      </w:pPr>
    </w:p>
    <w:p w14:paraId="2136E8AF" w14:textId="77777777" w:rsidR="00D16AB5" w:rsidRPr="00C44D5E" w:rsidRDefault="00D16AB5" w:rsidP="00D16AB5"/>
    <w:p w14:paraId="52894BE7" w14:textId="77777777" w:rsidR="00D16AB5" w:rsidRPr="00C44D5E" w:rsidRDefault="00D16AB5" w:rsidP="00D16AB5"/>
    <w:p w14:paraId="7831BDF2" w14:textId="77777777" w:rsidR="00D16AB5" w:rsidRDefault="00D16AB5" w:rsidP="00D16AB5"/>
    <w:p w14:paraId="2750F5BC" w14:textId="77777777" w:rsidR="00D16AB5" w:rsidRDefault="00D16AB5" w:rsidP="00D16AB5"/>
    <w:p w14:paraId="67EFFAD8" w14:textId="77777777" w:rsidR="00D16AB5" w:rsidRDefault="00D16AB5" w:rsidP="00D16AB5"/>
    <w:p w14:paraId="7C773098" w14:textId="77777777" w:rsidR="00D16AB5" w:rsidRDefault="00D16AB5" w:rsidP="00D16AB5"/>
    <w:p w14:paraId="0390284A" w14:textId="77777777" w:rsidR="00D16AB5" w:rsidRDefault="00D16AB5" w:rsidP="00D16AB5"/>
    <w:p w14:paraId="4C66561B" w14:textId="77777777" w:rsidR="00AC691D" w:rsidRDefault="00AC691D"/>
    <w:sectPr w:rsidR="00AC691D">
      <w:pgSz w:w="11906" w:h="16838"/>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C0F4D" w14:textId="77777777" w:rsidR="00062185" w:rsidRDefault="00062185" w:rsidP="00D16AB5">
      <w:r>
        <w:separator/>
      </w:r>
    </w:p>
  </w:endnote>
  <w:endnote w:type="continuationSeparator" w:id="0">
    <w:p w14:paraId="282CC7C4" w14:textId="77777777" w:rsidR="00062185" w:rsidRDefault="00062185" w:rsidP="00D1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umberland">
    <w:charset w:val="BA"/>
    <w:family w:val="modern"/>
    <w:pitch w:val="fixed"/>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1DE6D" w14:textId="77777777" w:rsidR="00062185" w:rsidRDefault="00062185" w:rsidP="00D16AB5">
      <w:r>
        <w:separator/>
      </w:r>
    </w:p>
  </w:footnote>
  <w:footnote w:type="continuationSeparator" w:id="0">
    <w:p w14:paraId="3F07B5EE" w14:textId="77777777" w:rsidR="00062185" w:rsidRDefault="00062185" w:rsidP="00D16AB5">
      <w:r>
        <w:continuationSeparator/>
      </w:r>
    </w:p>
  </w:footnote>
  <w:footnote w:id="1">
    <w:p w14:paraId="256FC8E1" w14:textId="77777777" w:rsidR="00D16AB5" w:rsidRPr="00960C35" w:rsidRDefault="00D16AB5" w:rsidP="00D16AB5">
      <w:pPr>
        <w:pStyle w:val="Puslapioinaostekstas"/>
        <w:jc w:val="both"/>
        <w:rPr>
          <w:sz w:val="22"/>
          <w:szCs w:val="22"/>
        </w:rPr>
      </w:pPr>
      <w:r w:rsidRPr="00960C35">
        <w:rPr>
          <w:rStyle w:val="Puslapioinaosnuoroda"/>
          <w:rFonts w:eastAsia="Cumberland"/>
          <w:sz w:val="22"/>
          <w:szCs w:val="22"/>
        </w:rPr>
        <w:footnoteRef/>
      </w:r>
      <w:r w:rsidRPr="00960C35">
        <w:rPr>
          <w:sz w:val="22"/>
          <w:szCs w:val="22"/>
          <w:lang w:eastAsia="lt-LT"/>
        </w:rPr>
        <w:t xml:space="preserve">„Vardinė (nominali) šiluminė galia“ suprantama kaip apibrėžta Lietuvos Respublikos energetikos įstatyme. Projekto taikymo tikslais, </w:t>
      </w:r>
      <w:r w:rsidRPr="00960C35">
        <w:rPr>
          <w:sz w:val="22"/>
          <w:szCs w:val="22"/>
        </w:rPr>
        <w:t xml:space="preserve">kurą deginančiu įrenginiu laikomas esamas kurą deginantis įrenginys, apibrėžtas Išmetamų teršalų iš vidutinių kurą deginančių įrenginių normose, patvirtintose Lietuvos Respublikos aplinkos ministro 2017 m. rugsėjo 18 d. įsakymu Nr. D1-778 (toliau – VKDĮ normos), parengtose įgyvendinant 2015 m. lapkričio 25 d. Europos Parlamento ir Tarybos direktyvą (ES) 2015/2193 dėl tam tikrų teršalų, išmetamų į orą iš vidutinio dydžio kurą deginančių įrenginių, kiekio apribojimo. </w:t>
      </w:r>
      <w:r w:rsidRPr="00960C35">
        <w:rPr>
          <w:sz w:val="22"/>
          <w:szCs w:val="22"/>
          <w:lang w:eastAsia="lt-LT"/>
        </w:rPr>
        <w:t>Nominalią šiluminę galią patvirtinančiu dokumentu laikomas įrenginio gamintojo išduotas dokumentas arba pagal Energetikos įstatymą Lietuvos Respublikos energetikos ministerijos nustatyta tvarka kompetentingos institucijos išduotas dokumentas.</w:t>
      </w:r>
    </w:p>
  </w:footnote>
  <w:footnote w:id="2">
    <w:p w14:paraId="4C7A3083" w14:textId="77777777" w:rsidR="00D16AB5" w:rsidRPr="00960C35" w:rsidRDefault="00D16AB5" w:rsidP="00D16AB5">
      <w:pPr>
        <w:pStyle w:val="Puslapioinaostekstas"/>
        <w:jc w:val="both"/>
        <w:rPr>
          <w:sz w:val="22"/>
          <w:szCs w:val="22"/>
        </w:rPr>
      </w:pPr>
      <w:r w:rsidRPr="00960C35">
        <w:rPr>
          <w:rStyle w:val="Puslapioinaosnuoroda"/>
          <w:sz w:val="22"/>
          <w:szCs w:val="22"/>
        </w:rPr>
        <w:footnoteRef/>
      </w:r>
      <w:r w:rsidRPr="00960C35">
        <w:rPr>
          <w:sz w:val="22"/>
          <w:szCs w:val="22"/>
        </w:rPr>
        <w:t xml:space="preserve"> Kai VKDĮ normose apibrėžtame kurą deginančiame įrenginyje deginamas skirtingų rūšių kuras, šiame projekte naudojama kuro rūšimi laikoma rūšis, kuri naudojama didžiausios vardinės (nominalios) šiluminės galios kurą deginančiame įrenginyje.</w:t>
      </w:r>
    </w:p>
  </w:footnote>
  <w:footnote w:id="3">
    <w:p w14:paraId="06A3E417" w14:textId="77777777" w:rsidR="00D16AB5" w:rsidRPr="00960C35" w:rsidRDefault="00D16AB5" w:rsidP="00D16AB5">
      <w:pPr>
        <w:jc w:val="both"/>
        <w:rPr>
          <w:iCs/>
          <w:sz w:val="22"/>
          <w:szCs w:val="22"/>
        </w:rPr>
      </w:pPr>
      <w:r w:rsidRPr="00960C35">
        <w:rPr>
          <w:rStyle w:val="Puslapioinaosnuoroda"/>
          <w:rFonts w:eastAsia="Cumberland"/>
          <w:sz w:val="22"/>
          <w:szCs w:val="22"/>
        </w:rPr>
        <w:footnoteRef/>
      </w:r>
      <w:r w:rsidRPr="00960C35">
        <w:rPr>
          <w:sz w:val="22"/>
          <w:szCs w:val="22"/>
        </w:rPr>
        <w:t xml:space="preserve"> Kas yra </w:t>
      </w:r>
      <w:r w:rsidRPr="00960C35">
        <w:rPr>
          <w:i/>
          <w:iCs/>
          <w:sz w:val="22"/>
          <w:szCs w:val="22"/>
        </w:rPr>
        <w:t>padidintos aplinkos oro taršos zona</w:t>
      </w:r>
      <w:r w:rsidRPr="00960C35">
        <w:rPr>
          <w:iCs/>
          <w:sz w:val="22"/>
          <w:szCs w:val="22"/>
        </w:rPr>
        <w:t xml:space="preserve">, kaip nustatyti, ar </w:t>
      </w:r>
      <w:r w:rsidRPr="00960C35">
        <w:rPr>
          <w:sz w:val="22"/>
          <w:szCs w:val="22"/>
        </w:rPr>
        <w:t>kurą deginančio įrenginio eksploatavimo (veiklos) vieta</w:t>
      </w:r>
      <w:r w:rsidRPr="00960C35">
        <w:rPr>
          <w:iCs/>
          <w:sz w:val="22"/>
          <w:szCs w:val="22"/>
        </w:rPr>
        <w:t xml:space="preserve"> patenka į šią zoną, nustatoma vadovaujantis Aplinkos apsaugos agentūros žemėlapiais ir jų naudojimo aprašu, parengtais pagal aplinkos ministro 2018 m. sausio 9 d. įsakymą Nr. D1-12 „Dėl aplinkos oro užterštumo kietosiomis dalelėmis KD10 lygio, viršijančio šio teršalo paros ribinę aplinkos oro užterštumo vertę didžiuosiuose Lietuvos miestuose (Vilniuje, Kaune, Klaipėdoje, Šiauliuose, Panevėžyje), žemėlapių ir jų naudojimo aprašo parengimo ir taikymo“ </w:t>
      </w:r>
      <w:hyperlink r:id="rId1" w:history="1">
        <w:r w:rsidRPr="00960C35">
          <w:rPr>
            <w:rStyle w:val="Hipersaitas"/>
            <w:sz w:val="22"/>
            <w:szCs w:val="22"/>
          </w:rPr>
          <w:t>http://gamta.lt/cms/index</w:t>
        </w:r>
      </w:hyperlink>
      <w:r w:rsidRPr="00960C35">
        <w:rPr>
          <w:iCs/>
          <w:sz w:val="22"/>
          <w:szCs w:val="22"/>
        </w:rPr>
        <w:t>.</w:t>
      </w:r>
    </w:p>
  </w:footnote>
  <w:footnote w:id="4">
    <w:p w14:paraId="5871F94E" w14:textId="77777777" w:rsidR="00D16AB5" w:rsidRPr="00960C35" w:rsidRDefault="00D16AB5" w:rsidP="00D16AB5">
      <w:pPr>
        <w:pStyle w:val="Puslapioinaostekstas"/>
        <w:jc w:val="both"/>
        <w:rPr>
          <w:sz w:val="22"/>
          <w:szCs w:val="22"/>
        </w:rPr>
      </w:pPr>
      <w:r w:rsidRPr="00960C35">
        <w:rPr>
          <w:rStyle w:val="Puslapioinaosnuoroda"/>
          <w:rFonts w:eastAsia="Cumberland"/>
          <w:sz w:val="22"/>
          <w:szCs w:val="22"/>
        </w:rPr>
        <w:footnoteRef/>
      </w:r>
      <w:r w:rsidRPr="00960C35">
        <w:rPr>
          <w:sz w:val="22"/>
          <w:szCs w:val="22"/>
        </w:rPr>
        <w:t xml:space="preserve"> Nustatoma pagal </w:t>
      </w:r>
      <w:r w:rsidRPr="00960C35">
        <w:rPr>
          <w:sz w:val="22"/>
          <w:szCs w:val="22"/>
          <w:lang w:eastAsia="lt-LT"/>
        </w:rPr>
        <w:t>Lietuvos Respublikos teritorijos administracinių vienetų ir jų ribų įstatymą.</w:t>
      </w:r>
    </w:p>
  </w:footnote>
  <w:footnote w:id="5">
    <w:p w14:paraId="277612F5" w14:textId="77777777" w:rsidR="00D16AB5" w:rsidRPr="00960C35" w:rsidRDefault="00D16AB5" w:rsidP="00D16AB5">
      <w:pPr>
        <w:jc w:val="both"/>
        <w:rPr>
          <w:sz w:val="22"/>
          <w:szCs w:val="22"/>
        </w:rPr>
      </w:pPr>
      <w:r w:rsidRPr="00960C35">
        <w:rPr>
          <w:sz w:val="22"/>
          <w:szCs w:val="22"/>
          <w:vertAlign w:val="superscript"/>
        </w:rPr>
        <w:footnoteRef/>
      </w:r>
      <w:r w:rsidRPr="00960C35">
        <w:rPr>
          <w:sz w:val="22"/>
          <w:szCs w:val="22"/>
        </w:rPr>
        <w:t xml:space="preserve"> Balai suteikiami sudarius visų projektų paraiškų vertinimo suvestinę.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B5"/>
    <w:rsid w:val="00043E19"/>
    <w:rsid w:val="00062185"/>
    <w:rsid w:val="00393B1F"/>
    <w:rsid w:val="00AC691D"/>
    <w:rsid w:val="00D1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1516"/>
  <w15:docId w15:val="{C7D24383-DD0C-4205-88EB-018DA19F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6AB5"/>
    <w:pPr>
      <w:suppressAutoHyphens/>
      <w:spacing w:after="0" w:line="240" w:lineRule="auto"/>
    </w:pPr>
    <w:rPr>
      <w:rFonts w:ascii="Times New Roman" w:eastAsia="Times New Roman" w:hAnsi="Times New Roman" w:cs="Times New Roman"/>
      <w:sz w:val="24"/>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D16AB5"/>
    <w:rPr>
      <w:color w:val="0000FF"/>
      <w:u w:val="single"/>
    </w:rPr>
  </w:style>
  <w:style w:type="paragraph" w:styleId="Puslapioinaostekstas">
    <w:name w:val="footnote text"/>
    <w:basedOn w:val="prastasis"/>
    <w:link w:val="PuslapioinaostekstasDiagrama"/>
    <w:rsid w:val="00D16AB5"/>
    <w:pPr>
      <w:suppressAutoHyphens w:val="0"/>
    </w:pPr>
    <w:rPr>
      <w:sz w:val="20"/>
      <w:lang w:eastAsia="en-US"/>
    </w:rPr>
  </w:style>
  <w:style w:type="character" w:customStyle="1" w:styleId="PuslapioinaostekstasDiagrama">
    <w:name w:val="Puslapio išnašos tekstas Diagrama"/>
    <w:basedOn w:val="Numatytasispastraiposriftas"/>
    <w:link w:val="Puslapioinaostekstas"/>
    <w:rsid w:val="00D16AB5"/>
    <w:rPr>
      <w:rFonts w:ascii="Times New Roman" w:eastAsia="Times New Roman" w:hAnsi="Times New Roman" w:cs="Times New Roman"/>
      <w:sz w:val="20"/>
      <w:szCs w:val="20"/>
      <w:lang w:val="lt-LT"/>
    </w:rPr>
  </w:style>
  <w:style w:type="character" w:styleId="Puslapioinaosnuoroda">
    <w:name w:val="footnote reference"/>
    <w:basedOn w:val="Numatytasispastraiposriftas"/>
    <w:rsid w:val="00D16A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gamta.lt/cm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2117</Words>
  <Characters>1207</Characters>
  <Application>Microsoft Office Word</Application>
  <DocSecurity>0</DocSecurity>
  <Lines>10</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Uzkurniene</dc:creator>
  <cp:lastModifiedBy>Jonas Balkevičius</cp:lastModifiedBy>
  <cp:revision>2</cp:revision>
  <dcterms:created xsi:type="dcterms:W3CDTF">2021-01-31T06:50:00Z</dcterms:created>
  <dcterms:modified xsi:type="dcterms:W3CDTF">2021-01-31T06:50:00Z</dcterms:modified>
</cp:coreProperties>
</file>